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5AC7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 la Agenda 2030 la cetățean. Guvernanța supranațională, condiționalitatea financiară și transformarea suveranității României”</w:t>
      </w:r>
    </w:p>
    <w:p w14:paraId="1656248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„Studiu privind formarea și transmiterea deciziei de la obiectivele globale la Uniunea Europeană, instituțiile financiare, guvernele României și contribuabil, cu analiza continuității politice 2015–2026”</w:t>
      </w:r>
    </w:p>
    <w:p w14:paraId="5E6C8BBF" w14:textId="77777777" w:rsidR="001F2C21" w:rsidRPr="007873B4" w:rsidRDefault="001F2C21" w:rsidP="001F2C21">
      <w:pPr>
        <w:numPr>
          <w:ilvl w:val="0"/>
          <w:numId w:val="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Suveranitatea în secolul XXI. De la dreptul formal la capacitatea efectivă de decizie </w:t>
      </w:r>
    </w:p>
    <w:p w14:paraId="0539F82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Definim de la început diferența dintre suveranitatea juridică și suveranitatea efectivă. Statul poate rămâne formal suveran, dar o parte crescândă din spațiul său de alegere poate fi delimitată prin tratate, reglementări supranaționale, finanțări condiționate, datorie, jaloane, obiective climatice și programe multianuale.</w:t>
      </w:r>
    </w:p>
    <w:p w14:paraId="1BF1D1E1" w14:textId="77777777" w:rsidR="001F2C21" w:rsidRPr="007873B4" w:rsidRDefault="001F2C21" w:rsidP="001F2C21">
      <w:pPr>
        <w:numPr>
          <w:ilvl w:val="0"/>
          <w:numId w:val="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Agenda 2030 și apariția unei arhitecturi globale de transformare </w:t>
      </w:r>
    </w:p>
    <w:p w14:paraId="270D52D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Păstrăm integral analiza celor 17 obiective, caracterul lor formal neobligatoriu și extinderea lor asupra economiei, energiei, educației, sănătății, inegalității, consumului, urbanizării, instituțiilor și guvernanței.</w:t>
      </w:r>
    </w:p>
    <w:p w14:paraId="452F10F7" w14:textId="77777777" w:rsidR="001F2C21" w:rsidRPr="007873B4" w:rsidRDefault="001F2C21" w:rsidP="001F2C21">
      <w:pPr>
        <w:numPr>
          <w:ilvl w:val="0"/>
          <w:numId w:val="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Artizanii intelectuali și instituționali ai transformării </w:t>
      </w:r>
    </w:p>
    <w:p w14:paraId="39AAA2EE"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plasăm secțiunea pe care ai cerut-o. ONU și cadrul Agenda 2030. Instituțiile financiare internaționale. Banca Mondială și producerea expertizei tehnice. Uniunea Europeană și transformarea obiectivelor generale în norme, ținte, standarde și condiționalități. Guvernele naționale ca negociatori și executanți. Parlamentele și administrațiile ca verigi finale ale transpunerii.</w:t>
      </w:r>
    </w:p>
    <w:p w14:paraId="62395E1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vom afirma aprioric că fiecare dintre aceste instituții urmărește „reducerea suveranității”. Vom cerceta efectul cumulativ asupra libertății naționale de decizie.</w:t>
      </w:r>
    </w:p>
    <w:p w14:paraId="4DDAE208" w14:textId="77777777" w:rsidR="001F2C21" w:rsidRPr="007873B4" w:rsidRDefault="001F2C21" w:rsidP="001F2C21">
      <w:pPr>
        <w:numPr>
          <w:ilvl w:val="0"/>
          <w:numId w:val="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Uniunea Europeană ca mecanism de operaționalizare </w:t>
      </w:r>
    </w:p>
    <w:p w14:paraId="611E32A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Agenda 2030, Green Deal, Fit for 55, neutralitatea climatică, Digital Decade, reglementarea economică și condiționalitatea financiară. Aici analizăm mecanismul prin care un obiectiv politic internațional poate deveni succesiv obiectiv european, normă europeană, obligație națională și, în final, obligație individuală.</w:t>
      </w:r>
    </w:p>
    <w:p w14:paraId="5E8A4A7F" w14:textId="77777777" w:rsidR="001F2C21" w:rsidRPr="007873B4" w:rsidRDefault="001F2C21" w:rsidP="001F2C21">
      <w:pPr>
        <w:numPr>
          <w:ilvl w:val="0"/>
          <w:numId w:val="5"/>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Europa și Statele Unite. Două modele ale raportului dintre individ și autoritate </w:t>
      </w:r>
    </w:p>
    <w:p w14:paraId="7A58C07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Păstrăm comparația pe care am construit-o. Europa, mai multă standardizare supranațională, reglementare preventivă și obiective colective. America, o tradiție constituțională diferită privind individul, proprietatea, piața și limitarea autorității administrative. Fără caricaturizarea niciunuia dintre modele.</w:t>
      </w:r>
    </w:p>
    <w:p w14:paraId="39DC0592" w14:textId="77777777" w:rsidR="001F2C21" w:rsidRPr="007873B4" w:rsidRDefault="001F2C21" w:rsidP="001F2C21">
      <w:pPr>
        <w:numPr>
          <w:ilvl w:val="0"/>
          <w:numId w:val="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România înaintea PNRR. Integrarea progresivă în noua arhitectură </w:t>
      </w:r>
    </w:p>
    <w:p w14:paraId="48CE8D6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Aici trebuie să mergem mai înapoi decât 2020. Vom urmări aderarea la UE, mecanismele europene de coordonare, Agenda 2030 după 2015, strategiile naționale corespunzătoare și apariția unei clase politice și administrative pentru care integrarea europeană devine criteriu de legitimitate politică.</w:t>
      </w:r>
    </w:p>
    <w:p w14:paraId="371285D3" w14:textId="77777777" w:rsidR="001F2C21" w:rsidRPr="007873B4" w:rsidRDefault="001F2C21" w:rsidP="001F2C21">
      <w:pPr>
        <w:numPr>
          <w:ilvl w:val="0"/>
          <w:numId w:val="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Apariția lui Nicușor Dan. De la formarea occidentală la activism civic </w:t>
      </w:r>
    </w:p>
    <w:p w14:paraId="5CA4C35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începe firul pe care îl consideri insuficient tratat.</w:t>
      </w:r>
    </w:p>
    <w:p w14:paraId="37E7030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Nu apare în 2025. Studiile sale la </w:t>
      </w:r>
      <w:proofErr w:type="spellStart"/>
      <w:r w:rsidRPr="007873B4">
        <w:rPr>
          <w:rFonts w:ascii="Times New Roman" w:eastAsia="Times New Roman" w:hAnsi="Times New Roman" w:cs="Times New Roman"/>
          <w:kern w:val="0"/>
          <w:lang w:val="ro-RO"/>
          <w14:ligatures w14:val="none"/>
        </w:rPr>
        <w:t>École</w:t>
      </w:r>
      <w:proofErr w:type="spellEnd"/>
      <w:r w:rsidRPr="007873B4">
        <w:rPr>
          <w:rFonts w:ascii="Times New Roman" w:eastAsia="Times New Roman" w:hAnsi="Times New Roman" w:cs="Times New Roman"/>
          <w:kern w:val="0"/>
          <w:lang w:val="ro-RO"/>
          <w14:ligatures w14:val="none"/>
        </w:rPr>
        <w:t xml:space="preserve"> Normale </w:t>
      </w:r>
      <w:proofErr w:type="spellStart"/>
      <w:r w:rsidRPr="007873B4">
        <w:rPr>
          <w:rFonts w:ascii="Times New Roman" w:eastAsia="Times New Roman" w:hAnsi="Times New Roman" w:cs="Times New Roman"/>
          <w:kern w:val="0"/>
          <w:lang w:val="ro-RO"/>
          <w14:ligatures w14:val="none"/>
        </w:rPr>
        <w:t>Supérieure</w:t>
      </w:r>
      <w:proofErr w:type="spellEnd"/>
      <w:r w:rsidRPr="007873B4">
        <w:rPr>
          <w:rFonts w:ascii="Times New Roman" w:eastAsia="Times New Roman" w:hAnsi="Times New Roman" w:cs="Times New Roman"/>
          <w:kern w:val="0"/>
          <w:lang w:val="ro-RO"/>
          <w14:ligatures w14:val="none"/>
        </w:rPr>
        <w:t xml:space="preserve"> și universitățile Paris 11 și Paris 13 se desfășoară în anii 1992–1998. Revine în România în 1998. Între 2000 și 2006 fondează și conduce Școala Normală Superioară București. Între 2007 și 2008 este membru al Comisiei Prezidențiale pentru educație și cercetare. În 2008 fondează Asociația Salvați Bucureștiul. Aceste etape sunt documentabile. </w:t>
      </w:r>
    </w:p>
    <w:p w14:paraId="346CDBC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trebuie investigată separat rețeaua instituțională din jurul acestei ascensiuni, finanțările ONG, parteneriatele, sprijinul public, mediatic și politic. Nu voi completa golurile prin presupuneri.</w:t>
      </w:r>
    </w:p>
    <w:p w14:paraId="4F37EA6F" w14:textId="77777777" w:rsidR="001F2C21" w:rsidRPr="007873B4" w:rsidRDefault="001F2C21" w:rsidP="001F2C21">
      <w:pPr>
        <w:numPr>
          <w:ilvl w:val="0"/>
          <w:numId w:val="8"/>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De la societatea civilă la construcția unei alternative politice </w:t>
      </w:r>
    </w:p>
    <w:p w14:paraId="2F29844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2012, prima candidatură independentă la Primăria Bucureștiului. 2015, Uniunea Salvați Bucureștiul. 2016, transformarea în USR. Tot el își descrie această evoluție drept trecerea de la activism civic la o mișcare politică menită să reformeze România. </w:t>
      </w:r>
    </w:p>
    <w:p w14:paraId="66C5985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secțiune trebuie să analizeze dacă asistăm la o evoluție politică organică, la una susținută de anumite rețele instituționale sau la o combinație. Aici trebuie probe, inclusiv finanțări și susțineri concrete.</w:t>
      </w:r>
    </w:p>
    <w:p w14:paraId="457188E2" w14:textId="77777777" w:rsidR="001F2C21" w:rsidRPr="007873B4" w:rsidRDefault="001F2C21" w:rsidP="001F2C21">
      <w:pPr>
        <w:numPr>
          <w:ilvl w:val="0"/>
          <w:numId w:val="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Nicușor Dan, USR și instituționalizarea curentului reformist proeuropean </w:t>
      </w:r>
    </w:p>
    <w:p w14:paraId="2F9D330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trebuie să-l desprindem pe Nicușor Dan de partidul pe care l-a creat. Urmărim USB → USR → Parlament → desprinderea sa de partid, dar și supraviețuirea curentului politic pe care îl contribuise să-l creeze.</w:t>
      </w:r>
    </w:p>
    <w:p w14:paraId="3CBC313F" w14:textId="77777777" w:rsidR="001F2C21" w:rsidRPr="007873B4" w:rsidRDefault="001F2C21" w:rsidP="001F2C21">
      <w:pPr>
        <w:numPr>
          <w:ilvl w:val="0"/>
          <w:numId w:val="1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Primăria Capitalei ca etapă spre puterea națională </w:t>
      </w:r>
    </w:p>
    <w:p w14:paraId="1ABA083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Alegerile din 2020, primul mandat, realegerea din 2024 cu 47 la sută și referendumul bucureștean din 2024. </w:t>
      </w:r>
    </w:p>
    <w:p w14:paraId="6DDA070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analizăm apariția unui profil care depășește treptat administrația locală.</w:t>
      </w:r>
    </w:p>
    <w:p w14:paraId="604BE08B" w14:textId="77777777" w:rsidR="001F2C21" w:rsidRPr="007873B4" w:rsidRDefault="001F2C21" w:rsidP="001F2C21">
      <w:pPr>
        <w:numPr>
          <w:ilvl w:val="0"/>
          <w:numId w:val="1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Pandemia din 2020 și accelerarea guvernanței europene </w:t>
      </w:r>
    </w:p>
    <w:p w14:paraId="59F2286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Intrăm apoi în firul deja construit. Vaccinuri, APA, finanțarea europeană, achizițiile României,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Voiculescu, Mihăilă și dosarul DNA.</w:t>
      </w:r>
    </w:p>
    <w:p w14:paraId="3A051DE9" w14:textId="77777777" w:rsidR="001F2C21" w:rsidRPr="007873B4" w:rsidRDefault="001F2C21" w:rsidP="001F2C21">
      <w:pPr>
        <w:numPr>
          <w:ilvl w:val="0"/>
          <w:numId w:val="12"/>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lastRenderedPageBreak/>
        <w:t>NextGenerationEU</w:t>
      </w:r>
      <w:proofErr w:type="spellEnd"/>
      <w:r w:rsidRPr="007873B4">
        <w:rPr>
          <w:rFonts w:ascii="Times New Roman" w:eastAsia="Times New Roman" w:hAnsi="Times New Roman" w:cs="Times New Roman"/>
          <w:kern w:val="0"/>
          <w:lang w:val="ro-RO"/>
          <w14:ligatures w14:val="none"/>
        </w:rPr>
        <w:t xml:space="preserve">. Criza devine mecanism financiar de transformare </w:t>
      </w:r>
    </w:p>
    <w:p w14:paraId="71593E5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RRF, granturi, împrumuturi și apariția principiului reformă contra finanțare.</w:t>
      </w:r>
    </w:p>
    <w:p w14:paraId="07B9B9D9" w14:textId="77777777" w:rsidR="001F2C21" w:rsidRPr="007873B4" w:rsidRDefault="001F2C21" w:rsidP="001F2C21">
      <w:pPr>
        <w:numPr>
          <w:ilvl w:val="0"/>
          <w:numId w:val="1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Ghinea și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Cine negociază PNRR </w:t>
      </w:r>
    </w:p>
    <w:p w14:paraId="7B1B615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Păstrăm integral OUG 24/2021 și responsabilitățile instituționale.</w:t>
      </w:r>
    </w:p>
    <w:p w14:paraId="64715610" w14:textId="77777777" w:rsidR="001F2C21" w:rsidRPr="007873B4" w:rsidRDefault="001F2C21" w:rsidP="001F2C21">
      <w:pPr>
        <w:numPr>
          <w:ilvl w:val="0"/>
          <w:numId w:val="1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Aprilie–mai 2021. Momentul în care reforma fiscală se schimbă </w:t>
      </w:r>
    </w:p>
    <w:p w14:paraId="6AFF848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Comparația dintre proiectul din aprilie și documentul din 31 mai, presiunea Comisiei relatată ulterior de Ghinea și compromisul coaliției.</w:t>
      </w:r>
    </w:p>
    <w:p w14:paraId="678CB571" w14:textId="77777777" w:rsidR="001F2C21" w:rsidRPr="007873B4" w:rsidRDefault="001F2C21" w:rsidP="001F2C21">
      <w:pPr>
        <w:numPr>
          <w:ilvl w:val="0"/>
          <w:numId w:val="15"/>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Jaloanele 205–208 și transformarea negocierii în obligație </w:t>
      </w:r>
    </w:p>
    <w:p w14:paraId="1C198E1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integrală a celor patru jaloane.</w:t>
      </w:r>
    </w:p>
    <w:p w14:paraId="1B6CBA43" w14:textId="77777777" w:rsidR="001F2C21" w:rsidRPr="007873B4" w:rsidRDefault="001F2C21" w:rsidP="001F2C21">
      <w:pPr>
        <w:numPr>
          <w:ilvl w:val="0"/>
          <w:numId w:val="1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Banca Mondială și arhitectura tehnică a reformei fiscale </w:t>
      </w:r>
    </w:p>
    <w:p w14:paraId="35324EC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205, contractul Ministerului Finanțelor, microîntreprinderi, capital, contribuții, proprietate, fiscalitate verde și evaluarea în masă.</w:t>
      </w:r>
    </w:p>
    <w:p w14:paraId="6604986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testăm documentar teza ta privind Banca Mondială drept „creier tehnic” al reformei. Important este să vedem cronologic ce recomandare precedă o măsură și ce document doar o descrie ulterior.</w:t>
      </w:r>
    </w:p>
    <w:p w14:paraId="5957BA80" w14:textId="77777777" w:rsidR="001F2C21" w:rsidRPr="007873B4" w:rsidRDefault="001F2C21" w:rsidP="001F2C21">
      <w:pPr>
        <w:numPr>
          <w:ilvl w:val="0"/>
          <w:numId w:val="17"/>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și OG 16/2022. Începutul execuției fiscale </w:t>
      </w:r>
    </w:p>
    <w:p w14:paraId="159AAFD9" w14:textId="77777777" w:rsidR="001F2C21" w:rsidRPr="007873B4" w:rsidRDefault="001F2C21" w:rsidP="001F2C21">
      <w:pPr>
        <w:numPr>
          <w:ilvl w:val="0"/>
          <w:numId w:val="17"/>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și pachetele 2023–2024. Accelerarea </w:t>
      </w:r>
    </w:p>
    <w:p w14:paraId="6A58C829" w14:textId="77777777" w:rsidR="001F2C21" w:rsidRPr="007873B4" w:rsidRDefault="001F2C21" w:rsidP="001F2C21">
      <w:pPr>
        <w:numPr>
          <w:ilvl w:val="0"/>
          <w:numId w:val="17"/>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și OUG 156/2024. Continuarea indiferent de partid </w:t>
      </w:r>
    </w:p>
    <w:p w14:paraId="6B03ACCD" w14:textId="77777777" w:rsidR="001F2C21" w:rsidRPr="007873B4" w:rsidRDefault="001F2C21" w:rsidP="001F2C21">
      <w:pPr>
        <w:numPr>
          <w:ilvl w:val="0"/>
          <w:numId w:val="1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Procedura de deficit excesiv și trecerea la condiționalitatea de rezultat </w:t>
      </w:r>
    </w:p>
    <w:p w14:paraId="0709217F" w14:textId="77777777" w:rsidR="001F2C21" w:rsidRPr="007873B4" w:rsidRDefault="001F2C21" w:rsidP="001F2C21">
      <w:pPr>
        <w:numPr>
          <w:ilvl w:val="0"/>
          <w:numId w:val="1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Alegerile prezidențiale anulate din 2024 și schimbarea cadrului politic </w:t>
      </w:r>
    </w:p>
    <w:p w14:paraId="0456C3B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Aici trebuie introdusă o secțiune nouă și foarte serioasă. Anularea scrutinului prezidențial din 2024 creează circumstanțele instituționale în care se organizează scrutinul din 2025. Nicușor Dan își anunță candidatura la 16 decembrie 2024, la zece zile după decizia CCR de anulare a procesului electoral. </w:t>
      </w:r>
    </w:p>
    <w:p w14:paraId="0F9E9D9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succesiune cronologică trebuie analizată fără a transforma simpla proximitate temporală în dovadă de cauzalitate.</w:t>
      </w:r>
    </w:p>
    <w:p w14:paraId="530FA0F6" w14:textId="77777777" w:rsidR="001F2C21" w:rsidRPr="007873B4" w:rsidRDefault="001F2C21" w:rsidP="001F2C21">
      <w:pPr>
        <w:numPr>
          <w:ilvl w:val="0"/>
          <w:numId w:val="18"/>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Candidatura Nicușor Dan din 2025. Independent formal, susținere politică și financiară </w:t>
      </w:r>
    </w:p>
    <w:p w14:paraId="199EDCAE"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trebuie făcută cercetarea pe care documentul actual încă nu o conține suficient.</w:t>
      </w:r>
    </w:p>
    <w:p w14:paraId="7E84B47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Cine l-a susținut. Cine i-a finanțat campania. Donațiile și împrumuturile. Cine a făcut campanie pentru el. Susținerea partidelor între tururi. Susținerea societății civile. Poziționarea instituțiilor </w:t>
      </w:r>
      <w:r w:rsidRPr="007873B4">
        <w:rPr>
          <w:rFonts w:ascii="Times New Roman" w:eastAsia="Times New Roman" w:hAnsi="Times New Roman" w:cs="Times New Roman"/>
          <w:kern w:val="0"/>
          <w:lang w:val="ro-RO"/>
          <w14:ligatures w14:val="none"/>
        </w:rPr>
        <w:lastRenderedPageBreak/>
        <w:t>europene și occidentale, dacă a existat una documentabilă. Rolul mass-media. Rețelele politice formate anterior.</w:t>
      </w:r>
    </w:p>
    <w:p w14:paraId="440CD88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Regulile AEP cer declararea provenienței contribuțiilor electorale, ceea ce înseamnă că există o cale documentară pentru această analiză. </w:t>
      </w:r>
    </w:p>
    <w:p w14:paraId="3BDAB69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Abia după această cercetare vom putea răspunde riguros la întrebarea dacă termenul „impus” este demonstrabil sau dacă probele susțin mai curând noțiuni precum „susținut”, „promovat”, „convergență de interese” sau „candidat preferat de anumite medii”.</w:t>
      </w:r>
    </w:p>
    <w:p w14:paraId="509B7DA5" w14:textId="77777777" w:rsidR="001F2C21" w:rsidRPr="007873B4" w:rsidRDefault="001F2C21" w:rsidP="001F2C21">
      <w:pPr>
        <w:numPr>
          <w:ilvl w:val="0"/>
          <w:numId w:val="1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Nicușor Dan președinte. De la candidatul independent la garantul „direcției pro-occidentale” </w:t>
      </w:r>
    </w:p>
    <w:p w14:paraId="7830050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Aici introducem declarațiile sale din 2025. Majoritatea „pro-occidentală”, desemnarea lui </w:t>
      </w:r>
      <w:proofErr w:type="spellStart"/>
      <w:r w:rsidRPr="007873B4">
        <w:rPr>
          <w:rFonts w:ascii="Times New Roman" w:eastAsia="Times New Roman" w:hAnsi="Times New Roman" w:cs="Times New Roman"/>
          <w:kern w:val="0"/>
          <w:lang w:val="ro-RO"/>
          <w14:ligatures w14:val="none"/>
        </w:rPr>
        <w:t>Bolojan</w:t>
      </w:r>
      <w:proofErr w:type="spellEnd"/>
      <w:r w:rsidRPr="007873B4">
        <w:rPr>
          <w:rFonts w:ascii="Times New Roman" w:eastAsia="Times New Roman" w:hAnsi="Times New Roman" w:cs="Times New Roman"/>
          <w:kern w:val="0"/>
          <w:lang w:val="ro-RO"/>
          <w14:ligatures w14:val="none"/>
        </w:rPr>
        <w:t>, PSD–PNL–USR–UDMR și legătura cu PNRR și deficitul.</w:t>
      </w:r>
    </w:p>
    <w:p w14:paraId="653D881A" w14:textId="77777777" w:rsidR="001F2C21" w:rsidRPr="007873B4" w:rsidRDefault="001F2C21" w:rsidP="001F2C21">
      <w:pPr>
        <w:numPr>
          <w:ilvl w:val="0"/>
          <w:numId w:val="2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Guvernul </w:t>
      </w:r>
      <w:proofErr w:type="spellStart"/>
      <w:r w:rsidRPr="007873B4">
        <w:rPr>
          <w:rFonts w:ascii="Times New Roman" w:eastAsia="Times New Roman" w:hAnsi="Times New Roman" w:cs="Times New Roman"/>
          <w:kern w:val="0"/>
          <w:lang w:val="ro-RO"/>
          <w14:ligatures w14:val="none"/>
        </w:rPr>
        <w:t>Bolojan</w:t>
      </w:r>
      <w:proofErr w:type="spellEnd"/>
      <w:r w:rsidRPr="007873B4">
        <w:rPr>
          <w:rFonts w:ascii="Times New Roman" w:eastAsia="Times New Roman" w:hAnsi="Times New Roman" w:cs="Times New Roman"/>
          <w:kern w:val="0"/>
          <w:lang w:val="ro-RO"/>
          <w14:ligatures w14:val="none"/>
        </w:rPr>
        <w:t xml:space="preserve"> și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Continuitatea politicii după alegeri </w:t>
      </w:r>
    </w:p>
    <w:p w14:paraId="049B2DE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TVA 21 la sută, dividende 16 la sută, CASS, Legea 141/2025, Legea 239/2025, OUG 89/2025.</w:t>
      </w:r>
    </w:p>
    <w:p w14:paraId="503BE1CF" w14:textId="77777777" w:rsidR="001F2C21" w:rsidRPr="007873B4" w:rsidRDefault="001F2C21" w:rsidP="001F2C21">
      <w:pPr>
        <w:numPr>
          <w:ilvl w:val="0"/>
          <w:numId w:val="2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Anul 2026. Criza guvernamentală și rolul constituțional și politic al lui Nicușor Dan </w:t>
      </w:r>
    </w:p>
    <w:p w14:paraId="2452B09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nu mai este personaj secundar.</w:t>
      </w:r>
    </w:p>
    <w:p w14:paraId="134C99D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Devine actor central în selecția formulei de guvernare. Analizăm exact declarațiile privind viitorul premier, „direcția pro-occidentală”, „traiectoria fiscală”, „angajamentele financiare” și „relația cu finanțatorii”.</w:t>
      </w:r>
    </w:p>
    <w:p w14:paraId="7CB7C8C4" w14:textId="77777777" w:rsidR="001F2C21" w:rsidRPr="007873B4" w:rsidRDefault="001F2C21" w:rsidP="001F2C21">
      <w:pPr>
        <w:numPr>
          <w:ilvl w:val="0"/>
          <w:numId w:val="2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5 octombrie 2026. Poate fi schimbat premierul fără schimbarea politicii </w:t>
      </w:r>
    </w:p>
    <w:p w14:paraId="319DEF5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Aceasta devine una dintre întrebările centrale ale întregului studiu.</w:t>
      </w:r>
    </w:p>
    <w:p w14:paraId="12F43C1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Dacă președintele afirmă că noul premier trebuie să păstreze direcția occidentală, traiectoria fiscală și angajamentele față de finanțatori, ce anume mai poate schimba noul guvern?</w:t>
      </w:r>
    </w:p>
    <w:p w14:paraId="3EB31E5E" w14:textId="77777777" w:rsidR="001F2C21" w:rsidRPr="007873B4" w:rsidRDefault="001F2C21" w:rsidP="001F2C21">
      <w:pPr>
        <w:numPr>
          <w:ilvl w:val="0"/>
          <w:numId w:val="2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Nicușor Dan ca verigă între legitimitatea electorală și continuitatea angajamentelor supranaționale </w:t>
      </w:r>
    </w:p>
    <w:p w14:paraId="78A0E35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Aceasta este secțiunea care lipsea complet din prima mea structură.</w:t>
      </w:r>
    </w:p>
    <w:p w14:paraId="4F3DC59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vom spune anticipat că este „omul sistemului” sau că a fost „impus”. Vom testa o teză mai precisă. Ascensiunea lui începe cu peste două decenii înaintea Președinției, trece prin societatea civilă, construirea unui partid reformist, Parlament, Primăria Capitalei și Președinție. După ajungerea la Cotroceni, discursul său privind formarea guvernului leagă explicit orientarea pro-occidentală de continuitatea financiară și fiscală.</w:t>
      </w:r>
    </w:p>
    <w:p w14:paraId="0FD0FA0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Întrebarea cercetării va fi cine și ce structuri au susținut fiecare etapă a acestei ascensiuni și dacă această susținere permite demonstrarea unei coordonări externe sau numai a unei convergențe politice și ideologice.</w:t>
      </w:r>
    </w:p>
    <w:p w14:paraId="5F15D5A2"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Proeuropean, prooccidental și progresist. Suprapunere sau echivalență </w:t>
      </w:r>
    </w:p>
    <w:p w14:paraId="63B18CEE"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Digitalizarea administrației și noua relație stat–cetățean </w:t>
      </w:r>
    </w:p>
    <w:p w14:paraId="2D786193"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Proprietatea, evaluarea în masă și fiscalizarea valorii </w:t>
      </w:r>
    </w:p>
    <w:p w14:paraId="7E441971"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Continuitatea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dincolo de alternanța electorală </w:t>
      </w:r>
    </w:p>
    <w:p w14:paraId="15910A7A"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Parlamentul ca ultimă verigă și proliferarea OUG </w:t>
      </w:r>
    </w:p>
    <w:p w14:paraId="784B98B3"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Suveranitatea electorală. Mai poate votul schimba direcția </w:t>
      </w:r>
    </w:p>
    <w:p w14:paraId="072DF594"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Suveranitatea formală și suveranitatea efectivă </w:t>
      </w:r>
    </w:p>
    <w:p w14:paraId="0932EDA2" w14:textId="77777777" w:rsidR="001F2C21" w:rsidRPr="007873B4" w:rsidRDefault="001F2C21" w:rsidP="001F2C21">
      <w:pPr>
        <w:numPr>
          <w:ilvl w:val="0"/>
          <w:numId w:val="2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Cetățeanul între protecție și control </w:t>
      </w:r>
    </w:p>
    <w:p w14:paraId="01D3228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punem față în față GDPR, CJUE și drepturile europene cu fiscalizarea, raportarea, interoperabilitatea bazelor de date, condiționalitatea și administrația digitală.</w:t>
      </w:r>
    </w:p>
    <w:p w14:paraId="1BE0D4F0" w14:textId="77777777" w:rsidR="001F2C21" w:rsidRPr="007873B4" w:rsidRDefault="001F2C21" w:rsidP="001F2C21">
      <w:pPr>
        <w:numPr>
          <w:ilvl w:val="0"/>
          <w:numId w:val="25"/>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„Sclavia modernă” ca teză critică. Ce poate fi demonstrat și unde începe interpretarea </w:t>
      </w:r>
    </w:p>
    <w:p w14:paraId="1B55B5A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eliminăm conceptul tău. Îl analizăm. Îl definim economic și juridic și verificăm dacă dependența fiscală, reducerea libertății economice, condiționarea proprietății și îndepărtarea deciziei de alegător justifică această calificare sau dacă termenul depășește ceea ce documentele pot demonstra.</w:t>
      </w:r>
    </w:p>
    <w:p w14:paraId="4225EC68" w14:textId="77777777" w:rsidR="001F2C21" w:rsidRPr="007873B4" w:rsidRDefault="001F2C21" w:rsidP="001F2C21">
      <w:pPr>
        <w:numPr>
          <w:ilvl w:val="0"/>
          <w:numId w:val="2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Concluzii. Cine decide, cine execută și cine plătește </w:t>
      </w:r>
    </w:p>
    <w:p w14:paraId="43EB227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Aș închide studiul cu trei întrebări, integrate în proză, nu puse ca sloganuri. Cine stabilește direcția. Cine mai poate schimba direcția. Ce putere efectivă îi rămâne cetățeanului prin vot.</w:t>
      </w:r>
    </w:p>
    <w:p w14:paraId="7C88C0E7" w14:textId="77777777" w:rsidR="001F2C21" w:rsidRPr="007873B4" w:rsidRDefault="001F2C21" w:rsidP="001F2C21">
      <w:pPr>
        <w:numPr>
          <w:ilvl w:val="0"/>
          <w:numId w:val="2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Suveranitatea în secolul XXI. De la dreptul formal la capacitatea efectivă de decizie</w:t>
      </w:r>
    </w:p>
    <w:p w14:paraId="255D4B0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Suveranitatea statului a fost înțeleasă tradițional prin capacitatea acestuia de a-și stabili în mod autonom ordinea juridică, politica fiscală, raporturile economice, politica externă și modul în care sunt colectate și utilizate resursele publice. În statul democratic modern, această suveranitate este exercitată prin mecanismul reprezentării. Cetățeanul votează, Parlamentul legiferează, majoritatea parlamentară susține Guvernul, iar Guvernul aplică politica pentru care a primit, direct sau indirect, legitimitate electorală.</w:t>
      </w:r>
    </w:p>
    <w:p w14:paraId="07139DE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Integrarea europeană și dezvoltarea instituțiilor multilaterale nu au eliminat juridic această suveranitate. România rămâne stat suveran, dispune de Constituție, Parlament, Guvern, sistem judiciar și competență fiscală proprie. Problema analizată în prezentul studiu este însă diferită. Ea privește distanța care poate apărea între suveranitatea juridică formală și capacitatea efectivă a statului de a modifica prin mecanismele electorale politicile publice deja angajate.</w:t>
      </w:r>
    </w:p>
    <w:p w14:paraId="169DDC1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În ultimele decenii s-a dezvoltat o arhitectură de guvernanță în care statele participă simultan la organizații internaționale, structuri supranaționale, tratate, programe de finanțare, mecanisme de coordonare economică și acorduri multianuale. Fiecare dintre acestea poate fi rezultatul unei </w:t>
      </w:r>
      <w:r w:rsidRPr="007873B4">
        <w:rPr>
          <w:rFonts w:ascii="Times New Roman" w:eastAsia="Times New Roman" w:hAnsi="Times New Roman" w:cs="Times New Roman"/>
          <w:kern w:val="0"/>
          <w:lang w:val="ro-RO"/>
          <w14:ligatures w14:val="none"/>
        </w:rPr>
        <w:lastRenderedPageBreak/>
        <w:t>manifestări legitime de voință a statului. Efectul cumulat poate fi însă acela că o parte tot mai importantă a politicilor viitoare este stabilită înaintea următorului ciclu electoral.</w:t>
      </w:r>
    </w:p>
    <w:p w14:paraId="4111668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diferență este fundamentală. Un angajament poate fi liber asumat în anul 2021 și poate deveni, după aprobarea sa, o obligație care trebuie executată de guvernele din 2022, 2023, 2024, 2025 sau 2026, chiar dacă între timp se schimbă premierul, ministrul Finanțelor, coaliția parlamentară ori orientarea exprimată de electorat. Alegerile schimbă titularii funcțiilor, dar nu desființează automat obligațiile statului.</w:t>
      </w:r>
    </w:p>
    <w:p w14:paraId="539617E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România oferă între 2020 și 2026 un exemplu deosebit de relevant. PNRR a fost negociat de un guvern și executat fiscal de mai multe guverne succesive. PNL, USR, UDMR și PSD apar în diferite momente ale aceluiași proces.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Cristian Ghinea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participă la etapa originară din 2021.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începe în 2022 transpunerea fiscală majoră.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continuă în 2023–2024.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continuă consolidarea în 2024–2025.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operează ulterior într-un sistem în care PNRR se suprapune peste procedura de deficit excesiv și planul fiscal-structural. Continuitatea traversează astfel alternanța politică.</w:t>
      </w:r>
    </w:p>
    <w:p w14:paraId="4020369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fenomen impune introducerea unei distincții între suveranitatea formală și suveranitatea efectivă. Prima răspunde întrebării dacă statul are juridic dreptul de a decide. Cea de-a doua răspunde unei întrebări diferite, cât de mare mai este, în realitate, spațiul în interiorul căruia statul poate decide fără pierderea finanțării, încălcarea unui angajament european, nerespectarea unei traiectorii fiscale sau apariția unor consecințe economice și juridice.</w:t>
      </w:r>
    </w:p>
    <w:p w14:paraId="2EDA01E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materia fiscală, această diferență poate fi măsurată. România poate stabili prin lege cotele impozitelor sale, dar în anumite perioade trebuie simultan să realizeze un rezultat bugetar convenit, să îndeplinească jaloane asumate, să reducă deficitul și să respecte limite privind evoluția cheltuielilor. În aceste condiții, libertatea juridică de a alege instrumentul coexistă cu o constrângere asupra rezultatului.</w:t>
      </w:r>
    </w:p>
    <w:p w14:paraId="7C87378E"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Tocmai de aceea prezentul studiu nu pornește de la afirmația simplificatoare că România nu mai este suverană. El cercetează un fenomen mai subtil și, din punct de vedere instituțional, mai important, diminuarea progresivă a spațiului în care suveranitatea poate fi exercitată efectiv de autoritățile rezultate dintr-un nou scrutin.</w:t>
      </w:r>
    </w:p>
    <w:p w14:paraId="6A6B377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Întrebarea centrală devine astfel una democratică. Dacă cetățeanul schimbă majoritatea politică, dar noua majoritate moștenește obiective, jaloane, termene, obligații financiare și traiectorii fiscale stabilite anterior, cât din politica statului mai poate fi modificată efectiv prin vot?</w:t>
      </w:r>
    </w:p>
    <w:p w14:paraId="2E3C049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întrebare va urmări întregul studiu, de la Agenda 2030 până la impozitul plătit de contribuabilul român.</w:t>
      </w:r>
    </w:p>
    <w:p w14:paraId="4F88A9FC" w14:textId="77777777" w:rsidR="001F2C21" w:rsidRPr="007873B4" w:rsidRDefault="001F2C21" w:rsidP="001F2C21">
      <w:pPr>
        <w:numPr>
          <w:ilvl w:val="0"/>
          <w:numId w:val="28"/>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Agenda 2030 și apariția unei arhitecturi globale de transformare</w:t>
      </w:r>
    </w:p>
    <w:p w14:paraId="48EE0AE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Un reper cronologic necesar pentru înțelegerea acestei evoluții este anul 2015. Agenda 2030 pentru dezvoltare durabilă a fost adoptată în cadrul Organizației Națiunilor Unite și a stabilit 17 obiective de dezvoltare durabilă. Domeniul lor depășește cu mult protecția mediului. El include </w:t>
      </w:r>
      <w:r w:rsidRPr="007873B4">
        <w:rPr>
          <w:rFonts w:ascii="Times New Roman" w:eastAsia="Times New Roman" w:hAnsi="Times New Roman" w:cs="Times New Roman"/>
          <w:kern w:val="0"/>
          <w:lang w:val="ro-RO"/>
          <w14:ligatures w14:val="none"/>
        </w:rPr>
        <w:lastRenderedPageBreak/>
        <w:t>sărăcia, sănătatea, educația, egalitatea, energia, dezvoltarea economică, infrastructura, inegalitățile, orașele, consumul și producția, clima, instituțiile și cooperarea internațională.</w:t>
      </w:r>
    </w:p>
    <w:p w14:paraId="6F2612E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punct de vedere juridic trebuie făcută de la început o precizare esențială. Obiectivele de dezvoltare durabilă nu reprezintă prin ele însele un sistem supranațional de legislație obligatorie. Responsabilitatea principală pentru implementare aparține statelor. Această caracteristică este importantă pentru că exclude interpretarea simplistă potrivit căreia Agenda 2030 ar constitui, prin ea însăși, un guvern mondial care ar emite norme direct aplicabile cetățenilor.</w:t>
      </w:r>
    </w:p>
    <w:p w14:paraId="22AFAB2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Importanța Agendei 2030 este de altă natură. Ea oferă un cadru comun în care domenii anterior tratate separat sunt integrate într-o viziune coerentă asupra transformării economiei și societății. Energia, fiscalitatea ecologică, mobilitatea, dezvoltarea urbană, digitalizarea, incluziunea socială, educația și funcționarea instituțiilor pot fi evaluate prin raportare la obiective comune și la indicatori de progres.</w:t>
      </w:r>
    </w:p>
    <w:p w14:paraId="484556B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Astfel apare un prim nivel al guvernanței contemporane. Organizația globală nu trebuie să legifereze direct pentru individ pentru a influența direcția politicilor publice. Este suficient ca obiectivele formulate la nivel internațional să fie preluate ulterior de organizații regionale, instituții financiare și guverne naționale și transformate de acestea în propriile programe, standarde și acte normative.</w:t>
      </w:r>
    </w:p>
    <w:p w14:paraId="271CDE7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Europa, această transformare este mult mai puternică decât simpla aderare declarativă la obiectivele ONU. Uniunea Europeană a integrat obiectivele dezvoltării durabile în politicile sale interne și externe, iar ulterior Green Deal, Fit for 55, obiectivul neutralității climatice și Digital Decade au introdus ținte și mecanisme proprii. Materialul analizat arată tocmai această trecere de la obiectivele generale ale Agendei 2030 la o arhitectură europeană capabilă să producă norme și ținte măsurabile.</w:t>
      </w:r>
    </w:p>
    <w:p w14:paraId="198F13E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Aceasta este prima transformare pe care studiul trebuie să o urmărească. Un obiectiv global, care la nivelul ONU nu este direct obligatoriu, poate dobândi o natură juridică diferită după integrarea lui într-un sistem supranațional dotat cu competențe legislative proprii.</w:t>
      </w:r>
    </w:p>
    <w:p w14:paraId="20FA95B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reprezintă tocmai un asemenea sistem. Regulamentele sale pot avea aplicabilitate directă, directivele creează obligații de transpunere, iar alte mecanisme pot lega accesul la finanțare de îndeplinirea unor reforme și obiective. În consecință, trebuie diferențiate riguros originea intelectuală a unei politici, instituția care o transformă într-un obiectiv măsurabil și autoritatea care o transpune într-o obligație aplicabilă cetățeanului.</w:t>
      </w:r>
    </w:p>
    <w:p w14:paraId="484EC52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mecanism explică de ce studiul pornește de la Agenda 2030, dar nu se oprește la ea. Agenda reprezintă nivelul superior al unor obiective globale. Uniunea Europeană reprezintă pentru România unul dintre principalele niveluri de operaționalizare. Guvernul și Parlamentul României reprezintă nivelul național de transpunere. Administrația reprezintă nivelul executiv. La capătul circuitului se găsesc persoana fizică, proprietarul, salariatul, profesionistul și întreprinderea.</w:t>
      </w:r>
    </w:p>
    <w:p w14:paraId="10ED648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Materialul cercetat exprimă această succesiune printr-o arhitectură clară, obiective globale și instituții internaționale, modele de politică publică, Uniunea Europeană, legislație și condiționalități, guverne naționale, fiscalitate și administrație, apoi cetățeanul.</w:t>
      </w:r>
    </w:p>
    <w:p w14:paraId="7E37155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rezultă de aici că fiecare politică europeană își are originea în Agenda 2030 și nici că toate instituțiile participante urmăresc un plan unic. Rezultă însă existența unei convergențe instituționale în jurul unor obiective comune și apariția unor mecanisme prin care obiectivele generale pot coborî succesiv de la nivel internațional până la comportamentul economic individual.</w:t>
      </w:r>
    </w:p>
    <w:p w14:paraId="223B8E1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constatare permite formularea problemei suveranității într-o manieră mai exactă. Nu este necesar ca un stat să fie constrâns printr-un ordin exterior direct pentru ca libertatea sa de politică publică să se reducă. Reducerea poate apărea progresiv, prin asumarea succesivă a unor obiective, integrarea lor în programe, condiționarea finanțărilor, introducerea unor termene și indicatori și transformarea acestora în legislație.</w:t>
      </w:r>
    </w:p>
    <w:p w14:paraId="61C5F0A0" w14:textId="77777777" w:rsidR="001F2C21" w:rsidRPr="007873B4" w:rsidRDefault="001F2C21" w:rsidP="001F2C21">
      <w:pPr>
        <w:numPr>
          <w:ilvl w:val="0"/>
          <w:numId w:val="2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Artizanii intelectuali și instituționali ai transformării. Cine concepe, cine condiționează și cine execută</w:t>
      </w:r>
    </w:p>
    <w:p w14:paraId="01AD0AC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Noțiunea de „artizani ai reducerii suveranității” trebuie utilizată cu precauție metodologică. Reducerea spațiului național de decizie poate reprezenta efectul unei construcții instituționale fără ca fiecare participant la această construcție să urmărească declarat reducerea suveranității. Pentru un studiu profesional trebuie separate intenția declarată, competența juridică și efectul instituțional.</w:t>
      </w:r>
    </w:p>
    <w:p w14:paraId="4E61D44E" w14:textId="77777777" w:rsidR="001F2C21" w:rsidRPr="007873B4" w:rsidRDefault="001F2C21" w:rsidP="001F2C21">
      <w:pPr>
        <w:pStyle w:val="isselectedend"/>
        <w:rPr>
          <w:lang w:val="ro-RO"/>
        </w:rPr>
      </w:pPr>
      <w:r w:rsidRPr="007873B4">
        <w:rPr>
          <w:lang w:val="ro-RO"/>
        </w:rPr>
        <w:t>ONU, universalitatea obiectivelor și adaptarea lor la continente, civilizații, religii și sisteme politice</w:t>
      </w:r>
    </w:p>
    <w:p w14:paraId="1A1A9020" w14:textId="77777777" w:rsidR="001F2C21" w:rsidRPr="007873B4" w:rsidRDefault="001F2C21" w:rsidP="001F2C21">
      <w:pPr>
        <w:pStyle w:val="isselectedend"/>
        <w:rPr>
          <w:lang w:val="ro-RO"/>
        </w:rPr>
      </w:pPr>
      <w:r w:rsidRPr="007873B4">
        <w:rPr>
          <w:lang w:val="ro-RO"/>
        </w:rPr>
        <w:t>Pentru înțelegerea rolului Organizației Națiunilor Unite în arhitectura care conduce la Agenda 2030 trebuie evitată imaginea simplificată a unui program conceput pentru o lume omogenă. Sistemul ONU pornește tocmai de la constatarea contrară. Cele aproape două sute de state care îl compun aparțin unor continente, civilizații, religii, sisteme politice și niveluri de dezvoltare profund diferite. Agenda 2030 încearcă să formuleze obiective universale pentru această lume neuniformă, fără a pretinde formal că toate statele trebuie să le realizeze prin aceleași instrumente.</w:t>
      </w:r>
    </w:p>
    <w:p w14:paraId="0817E2A9" w14:textId="77777777" w:rsidR="001F2C21" w:rsidRPr="007873B4" w:rsidRDefault="001F2C21" w:rsidP="001F2C21">
      <w:pPr>
        <w:pStyle w:val="isselectedend"/>
        <w:rPr>
          <w:lang w:val="ro-RO"/>
        </w:rPr>
      </w:pPr>
      <w:r w:rsidRPr="007873B4">
        <w:rPr>
          <w:lang w:val="ro-RO"/>
        </w:rPr>
        <w:t>Aceasta reprezintă una dintre diferențele fundamentale dintre Agenda 2030 și un sistem legislativ mondial. Textul adoptat în 2015 declară obiectivele universale și aplicabile tuturor statelor, dezvoltate sau în curs de dezvoltare, dar precizează simultan că trebuie luate în considerare realitățile naționale diferite, capacitățile și nivelurile de dezvoltare și că trebuie respectate politicile și prioritățile naționale. Fiecare guvern își stabilește propriile ținte naționale pornind de la nivelul global de ambiție și decide modul în care acestea sunt încorporate în procesele naționale de planificare, politici și strategii.</w:t>
      </w:r>
    </w:p>
    <w:p w14:paraId="175F285E" w14:textId="77777777" w:rsidR="001F2C21" w:rsidRPr="007873B4" w:rsidRDefault="001F2C21" w:rsidP="001F2C21">
      <w:pPr>
        <w:pStyle w:val="isselectedend"/>
        <w:rPr>
          <w:lang w:val="ro-RO"/>
        </w:rPr>
      </w:pPr>
      <w:r w:rsidRPr="007873B4">
        <w:rPr>
          <w:lang w:val="ro-RO"/>
        </w:rPr>
        <w:t xml:space="preserve">Această formulare este foarte importantă pentru problema suveranității. În arhitectura originară ONU nu găsim, cel puțin formal, principiul uniformizării juridice mondiale. Găsim un model </w:t>
      </w:r>
      <w:r w:rsidRPr="007873B4">
        <w:rPr>
          <w:lang w:val="ro-RO"/>
        </w:rPr>
        <w:lastRenderedPageBreak/>
        <w:t>diferit, obiective universale, indicatori globali, monitorizare și cooperare internațională, dar implementare diferențiată în funcție de stat și regiune. Chiar mecanismele de evaluare sunt definite ca voluntare și conduse de state, iar ONU afirmă expres că trebuie respectat spațiul național de politică publică.</w:t>
      </w:r>
    </w:p>
    <w:p w14:paraId="389C4FC0" w14:textId="77777777" w:rsidR="001F2C21" w:rsidRPr="007873B4" w:rsidRDefault="001F2C21" w:rsidP="001F2C21">
      <w:pPr>
        <w:pStyle w:val="isselectedend"/>
        <w:rPr>
          <w:lang w:val="ro-RO"/>
        </w:rPr>
      </w:pPr>
      <w:r w:rsidRPr="007873B4">
        <w:rPr>
          <w:lang w:val="ro-RO"/>
        </w:rPr>
        <w:t>Această structură explică de ce Agenda 2030 poate funcționa simultan în Europa, Africa, Asia, America Latină, America de Nord, Orientul Mijlociu și statele insulare fără a presupune existența aceluiași model economic, religios sau politic.</w:t>
      </w:r>
    </w:p>
    <w:p w14:paraId="5FAC5C07" w14:textId="77777777" w:rsidR="001F2C21" w:rsidRPr="007873B4" w:rsidRDefault="001F2C21" w:rsidP="001F2C21">
      <w:pPr>
        <w:pStyle w:val="isselectedend"/>
        <w:rPr>
          <w:lang w:val="ro-RO"/>
        </w:rPr>
      </w:pPr>
      <w:r w:rsidRPr="007873B4">
        <w:rPr>
          <w:lang w:val="ro-RO"/>
        </w:rPr>
        <w:t>Africa reprezintă unul dintre cazurile pentru care Agenda recunoaște explicit circumstanțe speciale. Documentul menționează separat statele africane, țările cel mai puțin dezvoltate, statele fără ieșire la mare și statele insulare mici. În asemenea regiuni, obiective precum eliminarea sărăciei extreme, accesul la apă, hrană, electricitate, educație, infrastructură și capacitate administrativă au o pondere evident diferită față de aceea pe care o au într-o economie europeană matură. ONU a dezvoltat tocmai din acest motiv structuri și programe distincte pentru categoriile vulnerabile de state.</w:t>
      </w:r>
    </w:p>
    <w:p w14:paraId="72536C3B" w14:textId="77777777" w:rsidR="001F2C21" w:rsidRPr="007873B4" w:rsidRDefault="001F2C21" w:rsidP="001F2C21">
      <w:pPr>
        <w:pStyle w:val="isselectedend"/>
        <w:rPr>
          <w:lang w:val="ro-RO"/>
        </w:rPr>
      </w:pPr>
      <w:r w:rsidRPr="007873B4">
        <w:rPr>
          <w:lang w:val="ro-RO"/>
        </w:rPr>
        <w:t>În Asia, universalitatea întâlnește o diversitate și mai mare a sistemelor. În aceeași arhitectură globală coexistă democrații liberale, economii puternic coordonate de stat, monarhii, state cu partid dominant, economii emergente și unele dintre cele mai sărace state ale lumii. Obiectivul global poate fi același, de exemplu accesul la energie, dezvoltarea infrastructurii sau reducerea sărăciei, dar instrumentele politice și economice prin care acesta este urmărit pot fi radical diferite.</w:t>
      </w:r>
    </w:p>
    <w:p w14:paraId="056BFEA9" w14:textId="77777777" w:rsidR="001F2C21" w:rsidRPr="007873B4" w:rsidRDefault="001F2C21" w:rsidP="001F2C21">
      <w:pPr>
        <w:pStyle w:val="isselectedend"/>
        <w:rPr>
          <w:lang w:val="ro-RO"/>
        </w:rPr>
      </w:pPr>
      <w:r w:rsidRPr="007873B4">
        <w:rPr>
          <w:lang w:val="ro-RO"/>
        </w:rPr>
        <w:t>America Latină introduce o altă combinație, state constituțional democratice, economii cu grade diferite de intervenție publică, inegalități sociale importante, probleme de infrastructură și tradiții politice diferite de cele europene. În acest spațiu, obiectivele privind sărăcia, inegalitatea, instituțiile, dezvoltarea urbană și incluziunea socială pot deveni prioritare într-o manieră diferită față de Europa.</w:t>
      </w:r>
    </w:p>
    <w:p w14:paraId="1B154A2D" w14:textId="77777777" w:rsidR="001F2C21" w:rsidRPr="007873B4" w:rsidRDefault="001F2C21" w:rsidP="001F2C21">
      <w:pPr>
        <w:pStyle w:val="isselectedend"/>
        <w:rPr>
          <w:lang w:val="ro-RO"/>
        </w:rPr>
      </w:pPr>
      <w:r w:rsidRPr="007873B4">
        <w:rPr>
          <w:lang w:val="ro-RO"/>
        </w:rPr>
        <w:t>Statele insulare mici reprezintă o categorie distinctă chiar în sistemul ONU. Vulnerabilitatea climatică, dependența de importuri, dimensiunea redusă a economiei, accesul la finanțare și expunerea la dezastre naturale determină programe de acțiune specifice, coordonate însă cu Agenda 2030, Acordul de la Paris și celelalte cadre internaționale.</w:t>
      </w:r>
    </w:p>
    <w:p w14:paraId="1ACB5D58" w14:textId="77777777" w:rsidR="001F2C21" w:rsidRPr="007873B4" w:rsidRDefault="001F2C21" w:rsidP="001F2C21">
      <w:pPr>
        <w:pStyle w:val="isselectedend"/>
        <w:rPr>
          <w:lang w:val="ro-RO"/>
        </w:rPr>
      </w:pPr>
      <w:r w:rsidRPr="007873B4">
        <w:rPr>
          <w:lang w:val="ro-RO"/>
        </w:rPr>
        <w:t>America de Nord și Europa pornesc de la o situație fundamental diferită. În economiile dezvoltate, Agenda nu poate avea drept obiectiv principal construirea infrastructurii elementare sau accesul inițial la electricitate. Accentul se deplasează către transformarea sistemelor deja existente, consum, energie, emisii, economie circulară, digitalizare, inegalitate, educație, incluziune și calitatea instituțiilor.</w:t>
      </w:r>
    </w:p>
    <w:p w14:paraId="06C8A6E7" w14:textId="77777777" w:rsidR="001F2C21" w:rsidRPr="007873B4" w:rsidRDefault="001F2C21" w:rsidP="001F2C21">
      <w:pPr>
        <w:pStyle w:val="isselectedend"/>
        <w:rPr>
          <w:lang w:val="ro-RO"/>
        </w:rPr>
      </w:pPr>
      <w:r w:rsidRPr="007873B4">
        <w:rPr>
          <w:lang w:val="ro-RO"/>
        </w:rPr>
        <w:t>Apare astfel un paradox important. Aceeași Agendă care într-un stat sărac poate însemna construirea accesului la energie, apă și infrastructură poate însemna într-un stat dezvoltat restructurarea modului în care energia este produsă, taxată și consumată. Universalitatea obiectivului nu produce identitatea măsurii.</w:t>
      </w:r>
    </w:p>
    <w:p w14:paraId="5AB7ACA8" w14:textId="77777777" w:rsidR="001F2C21" w:rsidRPr="007873B4" w:rsidRDefault="001F2C21" w:rsidP="001F2C21">
      <w:pPr>
        <w:pStyle w:val="isselectedend"/>
        <w:rPr>
          <w:lang w:val="ro-RO"/>
        </w:rPr>
      </w:pPr>
      <w:r w:rsidRPr="007873B4">
        <w:rPr>
          <w:lang w:val="ro-RO"/>
        </w:rPr>
        <w:lastRenderedPageBreak/>
        <w:t>Această diferențiere continentală și economică este prevăzută în însăși filosofia Agendei. ONU afirmă că obiectivele sunt universale, dar implicațiile lor sunt diferite în funcție de caracteristicile și nivelul de dezvoltare al fiecărui stat. Sistemul ONU a elaborat inclusiv ghiduri pentru echipele sale naționale, astfel încât Agenda să fie adaptată contextului național, subnațional și local și să încorporeze perspective regionale.</w:t>
      </w:r>
    </w:p>
    <w:p w14:paraId="53678079" w14:textId="77777777" w:rsidR="001F2C21" w:rsidRPr="007873B4" w:rsidRDefault="001F2C21" w:rsidP="001F2C21">
      <w:pPr>
        <w:pStyle w:val="isselectedend"/>
        <w:rPr>
          <w:lang w:val="ro-RO"/>
        </w:rPr>
      </w:pPr>
      <w:r w:rsidRPr="007873B4">
        <w:rPr>
          <w:lang w:val="ro-RO"/>
        </w:rPr>
        <w:t>Această constatare conduce la o distincție esențială pentru studiul nostru. Agenda 2030 nu reprezintă un singur model economic mondial. Ea reprezintă mai curând un sistem comun de obiective în interiorul căruia pot continua să funcționeze modele economice și politice foarte diferite.</w:t>
      </w:r>
    </w:p>
    <w:p w14:paraId="44B87AD2" w14:textId="77777777" w:rsidR="001F2C21" w:rsidRPr="007873B4" w:rsidRDefault="001F2C21" w:rsidP="001F2C21">
      <w:pPr>
        <w:pStyle w:val="isselectedend"/>
        <w:rPr>
          <w:lang w:val="ro-RO"/>
        </w:rPr>
      </w:pPr>
      <w:r w:rsidRPr="007873B4">
        <w:rPr>
          <w:lang w:val="ro-RO"/>
        </w:rPr>
        <w:t>China poate urmări obiective privind energia, infrastructura, urbanizarea sau reducerea sărăciei printr-un sistem în care statul păstrează o capacitate de coordonare economică foarte ridicată. Statele Unite le pot aborda printr-o combinație diferită între autoritatea federală, state, piață și sector privat. Uniunea Europeană le poate integra într-un sistem supranațional de regulamente, directive, obiective climatice și finanțări condiționate. Statele în curs de dezvoltare pot urmări aceleași obiective prin investiții în infrastructura de bază și asistență internațională.</w:t>
      </w:r>
    </w:p>
    <w:p w14:paraId="744CB476" w14:textId="77777777" w:rsidR="001F2C21" w:rsidRPr="007873B4" w:rsidRDefault="001F2C21" w:rsidP="001F2C21">
      <w:pPr>
        <w:pStyle w:val="isselectedend"/>
        <w:rPr>
          <w:lang w:val="ro-RO"/>
        </w:rPr>
      </w:pPr>
      <w:r w:rsidRPr="007873B4">
        <w:rPr>
          <w:lang w:val="ro-RO"/>
        </w:rPr>
        <w:t>Prin urmare, nu Agenda 2030 singură determină gradul de diminuare a suveranității. Elementul decisiv este sistemul instituțional prin care Agenda este transformată în politică.</w:t>
      </w:r>
    </w:p>
    <w:p w14:paraId="3DB3FB78" w14:textId="77777777" w:rsidR="001F2C21" w:rsidRPr="007873B4" w:rsidRDefault="001F2C21" w:rsidP="001F2C21">
      <w:pPr>
        <w:pStyle w:val="isselectedend"/>
        <w:rPr>
          <w:lang w:val="ro-RO"/>
        </w:rPr>
      </w:pPr>
      <w:r w:rsidRPr="007873B4">
        <w:rPr>
          <w:lang w:val="ro-RO"/>
        </w:rPr>
        <w:t>Această observație devine fundamentală pentru comparația dintre Uniunea Europeană și celelalte continente. ONU nu dispune față de România de competențele juridice pe care Uniunea Europeană le are față de un stat membru. Agenda poate furniza obiectivul global, dar UE poate transforma anumite obiective în legislație, termene, standarde și condiționalități. Diferența dintre Europa și alte regiuni nu constă deci numai în obiective, ci în mecanismul de operaționalizare.</w:t>
      </w:r>
    </w:p>
    <w:p w14:paraId="3CC2F3F3" w14:textId="77777777" w:rsidR="001F2C21" w:rsidRPr="007873B4" w:rsidRDefault="001F2C21" w:rsidP="001F2C21">
      <w:pPr>
        <w:pStyle w:val="isselectedend"/>
        <w:rPr>
          <w:lang w:val="ro-RO"/>
        </w:rPr>
      </w:pPr>
      <w:r w:rsidRPr="007873B4">
        <w:rPr>
          <w:lang w:val="ro-RO"/>
        </w:rPr>
        <w:t>O altă dimensiune care trebuie analizată este religia. Agenda 2030 nu instituie o religie globală și nici nu cere statelor abandonarea tradițiilor religioase. Dimpotrivă, documentul originar recunoaște diversitatea naturală și culturală a lumii și afirmă că toate culturile și civilizațiile pot contribui la dezvoltarea durabilă. Sistemul ONU leagă implementarea de toleranță, înțelegere interculturală, nediscriminare și respectarea demnității umane.</w:t>
      </w:r>
    </w:p>
    <w:p w14:paraId="1E158473" w14:textId="77777777" w:rsidR="001F2C21" w:rsidRPr="007873B4" w:rsidRDefault="001F2C21" w:rsidP="001F2C21">
      <w:pPr>
        <w:pStyle w:val="isselectedend"/>
        <w:rPr>
          <w:lang w:val="ro-RO"/>
        </w:rPr>
      </w:pPr>
      <w:r w:rsidRPr="007873B4">
        <w:rPr>
          <w:lang w:val="ro-RO"/>
        </w:rPr>
        <w:t>Religia apare însă și într-un alt registru. Obiectivul 10 privind reducerea inegalităților cere promovarea incluziunii sociale, economice și politice indiferent, între altele, de religie. Prin urmare, religia este recunoscută ca element al diversității societății, dar nu poate constitui, în logica Agendei, fundamentul excluderii unei persoane de la drepturile și oportunitățile pe care obiectivele urmăresc să le garanteze.</w:t>
      </w:r>
    </w:p>
    <w:p w14:paraId="3A86FB15" w14:textId="77777777" w:rsidR="001F2C21" w:rsidRPr="007873B4" w:rsidRDefault="001F2C21" w:rsidP="001F2C21">
      <w:pPr>
        <w:pStyle w:val="isselectedend"/>
        <w:rPr>
          <w:lang w:val="ro-RO"/>
        </w:rPr>
      </w:pPr>
      <w:r w:rsidRPr="007873B4">
        <w:rPr>
          <w:lang w:val="ro-RO"/>
        </w:rPr>
        <w:t>Această construcție produce inevitabil tensiuni diferite în funcție de spațiul cultural. O societate europeană secularizată, o societate majoritar musulmană, una hindusă, una budistă sau una în care creștinismul continuă să joace un rol social puternic nu interpretează identic raportul dintre familie, comunitate, individ, egalitate și autoritate.</w:t>
      </w:r>
    </w:p>
    <w:p w14:paraId="675B1D28" w14:textId="77777777" w:rsidR="001F2C21" w:rsidRPr="007873B4" w:rsidRDefault="001F2C21" w:rsidP="001F2C21">
      <w:pPr>
        <w:pStyle w:val="isselectedend"/>
        <w:rPr>
          <w:lang w:val="ro-RO"/>
        </w:rPr>
      </w:pPr>
      <w:r w:rsidRPr="007873B4">
        <w:rPr>
          <w:lang w:val="ro-RO"/>
        </w:rPr>
        <w:t xml:space="preserve">ONU încearcă să rezolve această dificultate prin universalizarea unui nucleu de valori și prin flexibilitatea implementării. Documentele sale vorbesc despre demnitate umană, drepturile </w:t>
      </w:r>
      <w:r w:rsidRPr="007873B4">
        <w:rPr>
          <w:lang w:val="ro-RO"/>
        </w:rPr>
        <w:lastRenderedPageBreak/>
        <w:t>omului, egalitate, nediscriminare și diversitate culturală, dar simultan despre realități naționale, priorități proprii și adaptarea obiectivelor la context.</w:t>
      </w:r>
    </w:p>
    <w:p w14:paraId="2D7A8124" w14:textId="77777777" w:rsidR="001F2C21" w:rsidRPr="007873B4" w:rsidRDefault="001F2C21" w:rsidP="001F2C21">
      <w:pPr>
        <w:pStyle w:val="isselectedend"/>
        <w:rPr>
          <w:lang w:val="ro-RO"/>
        </w:rPr>
      </w:pPr>
      <w:r w:rsidRPr="007873B4">
        <w:rPr>
          <w:lang w:val="ro-RO"/>
        </w:rPr>
        <w:t>În această zonă se găsește una dintre tensiunile structurale ale întregului sistem. Cu cât nucleul valorilor universale este definit mai amplu, cu atât crește posibilitatea ca el să intre în contact cu tradiții religioase, culturale sau juridice diferite. Cu cât adaptarea națională este mai largă, cu atât obiectivele globale pot produce rezultate diferite de la o societate la alta.</w:t>
      </w:r>
    </w:p>
    <w:p w14:paraId="4FB91459" w14:textId="77777777" w:rsidR="001F2C21" w:rsidRPr="007873B4" w:rsidRDefault="001F2C21" w:rsidP="001F2C21">
      <w:pPr>
        <w:pStyle w:val="isselectedend"/>
        <w:rPr>
          <w:lang w:val="ro-RO"/>
        </w:rPr>
      </w:pPr>
      <w:r w:rsidRPr="007873B4">
        <w:rPr>
          <w:lang w:val="ro-RO"/>
        </w:rPr>
        <w:t>Este relevant că ONU însuși subliniază importanța diversității religiilor și credințelor, dialogului intercultural și coeziunii sociale în implementarea obiectivelor. Aceasta confirmă că problema nu este ignorată, ci face parte din dificultatea construirii unei Agende universale pentru societăți care nu împărtășesc aceeași concepție asupra tuturor valorilor sociale.</w:t>
      </w:r>
    </w:p>
    <w:p w14:paraId="0A4E851C" w14:textId="77777777" w:rsidR="001F2C21" w:rsidRPr="007873B4" w:rsidRDefault="001F2C21" w:rsidP="001F2C21">
      <w:pPr>
        <w:pStyle w:val="isselectedend"/>
        <w:rPr>
          <w:lang w:val="ro-RO"/>
        </w:rPr>
      </w:pPr>
      <w:r w:rsidRPr="007873B4">
        <w:rPr>
          <w:lang w:val="ro-RO"/>
        </w:rPr>
        <w:t>Mai există însă o componentă care trebuie analizată pentru a înțelege puterea reală a sistemului, măsurarea.</w:t>
      </w:r>
    </w:p>
    <w:p w14:paraId="0155306F" w14:textId="77777777" w:rsidR="001F2C21" w:rsidRPr="007873B4" w:rsidRDefault="001F2C21" w:rsidP="001F2C21">
      <w:pPr>
        <w:pStyle w:val="isselectedend"/>
        <w:rPr>
          <w:lang w:val="ro-RO"/>
        </w:rPr>
      </w:pPr>
      <w:r w:rsidRPr="007873B4">
        <w:rPr>
          <w:lang w:val="ro-RO"/>
        </w:rPr>
        <w:t>Agenda 2030 nu conține numai obiective. Ea construiește un mecanism de urmărire a progresului prin indicatori globali completați de indicatori regionali și naționali. Evaluarea se bazează pe date oficiale și presupune dezvoltarea capacității statistice a statelor. Datele trebuie să poată fi dezagregate după venit, sex, vârstă, rasă, etnie, statut migrator, dizabilitate, localizare geografică și alte caracteristici relevante pentru contextul național.</w:t>
      </w:r>
    </w:p>
    <w:p w14:paraId="3C2FBAB6" w14:textId="77777777" w:rsidR="001F2C21" w:rsidRPr="007873B4" w:rsidRDefault="001F2C21" w:rsidP="001F2C21">
      <w:pPr>
        <w:pStyle w:val="isselectedend"/>
        <w:rPr>
          <w:lang w:val="ro-RO"/>
        </w:rPr>
      </w:pPr>
      <w:r w:rsidRPr="007873B4">
        <w:rPr>
          <w:lang w:val="ro-RO"/>
        </w:rPr>
        <w:t>Acest element schimbă natura guvernanței. Obiectivul politic devine indicator. Indicatorul presupune date. Datele permit comparația. Comparația permite evaluarea progresului. Evaluarea permite recomandarea de politici. Astfel apare o infrastructură globală de guvernanță care nu funcționează în primul rând prin ordin juridic direct, ci prin obiective, standardizare statistică, comparație, monitorizare, expertiză și cooperare instituțională.</w:t>
      </w:r>
    </w:p>
    <w:p w14:paraId="0E1AAE4A" w14:textId="77777777" w:rsidR="001F2C21" w:rsidRPr="007873B4" w:rsidRDefault="001F2C21" w:rsidP="001F2C21">
      <w:pPr>
        <w:pStyle w:val="isselectedend"/>
        <w:rPr>
          <w:lang w:val="ro-RO"/>
        </w:rPr>
      </w:pPr>
      <w:r w:rsidRPr="007873B4">
        <w:rPr>
          <w:lang w:val="ro-RO"/>
        </w:rPr>
        <w:t xml:space="preserve">Sistemul este construit pe mai multe niveluri. Statul raportează și evaluează la nivel național. Organizațiile regionale permit comparația și schimbul de practici. La nivel global, </w:t>
      </w:r>
      <w:proofErr w:type="spellStart"/>
      <w:r w:rsidRPr="007873B4">
        <w:rPr>
          <w:lang w:val="ro-RO"/>
        </w:rPr>
        <w:t>High-Level</w:t>
      </w:r>
      <w:proofErr w:type="spellEnd"/>
      <w:r w:rsidRPr="007873B4">
        <w:rPr>
          <w:lang w:val="ro-RO"/>
        </w:rPr>
        <w:t xml:space="preserve"> Political Forum coordonează procesul de urmărire și evaluare. ONU descrie explicit o rețea de procese naționale, regionale și globale, nu un centru unic care înlocuiește guvernele.</w:t>
      </w:r>
    </w:p>
    <w:p w14:paraId="309D077A" w14:textId="77777777" w:rsidR="001F2C21" w:rsidRPr="007873B4" w:rsidRDefault="001F2C21" w:rsidP="001F2C21">
      <w:pPr>
        <w:pStyle w:val="isselectedend"/>
        <w:rPr>
          <w:lang w:val="ro-RO"/>
        </w:rPr>
      </w:pPr>
      <w:r w:rsidRPr="007873B4">
        <w:rPr>
          <w:lang w:val="ro-RO"/>
        </w:rPr>
        <w:t>Acest fapt este important pentru teza studiului. Dacă dorim să identificăm „artizanii” transformării, nu trebuie căutat neapărat un comandament unic. Arhitectura poate funcționa tocmai pentru că responsabilitățile sunt distribuite.</w:t>
      </w:r>
    </w:p>
    <w:p w14:paraId="1334AED0" w14:textId="77777777" w:rsidR="001F2C21" w:rsidRPr="007873B4" w:rsidRDefault="001F2C21" w:rsidP="001F2C21">
      <w:pPr>
        <w:pStyle w:val="isselectedend"/>
        <w:rPr>
          <w:lang w:val="ro-RO"/>
        </w:rPr>
      </w:pPr>
      <w:r w:rsidRPr="007873B4">
        <w:rPr>
          <w:lang w:val="ro-RO"/>
        </w:rPr>
        <w:t>ONU formulează cadrul universal. Sistemul ONU dezvoltă indicatorii și mecanismele de monitorizare. Instituțiile financiare internaționale pot furniza finanțare, expertiză și modele economice. Organizațiile regionale adaptează și operaționalizează obiectivele. Uniunea Europeană dispune suplimentar de putere normativă supranațională. Statele negociază, acceptă și transpun. Administrațiile implementează. Cetățenii și întreprinderile suportă sau beneficiază de efectele concrete.</w:t>
      </w:r>
    </w:p>
    <w:p w14:paraId="67230CB8" w14:textId="77777777" w:rsidR="001F2C21" w:rsidRPr="007873B4" w:rsidRDefault="001F2C21" w:rsidP="001F2C21">
      <w:pPr>
        <w:pStyle w:val="isselectedend"/>
        <w:rPr>
          <w:lang w:val="ro-RO"/>
        </w:rPr>
      </w:pPr>
      <w:r w:rsidRPr="007873B4">
        <w:rPr>
          <w:lang w:val="ro-RO"/>
        </w:rPr>
        <w:t xml:space="preserve">Privită astfel, Agenda 2030 nu este un „guvern mondial” în sens juridic. Este însă o arhitectură globală de convergență a obiectivelor, construită astfel încât sisteme politice, economice, </w:t>
      </w:r>
      <w:r w:rsidRPr="007873B4">
        <w:rPr>
          <w:lang w:val="ro-RO"/>
        </w:rPr>
        <w:lastRenderedPageBreak/>
        <w:t>culturale și religioase foarte diferite să poată participa la aceeași direcție generală fără să fie obligate să utilizeze aceleași mijloace.</w:t>
      </w:r>
    </w:p>
    <w:p w14:paraId="46ABE0A9" w14:textId="77777777" w:rsidR="001F2C21" w:rsidRPr="007873B4" w:rsidRDefault="001F2C21" w:rsidP="001F2C21">
      <w:pPr>
        <w:pStyle w:val="isselectedend"/>
        <w:rPr>
          <w:lang w:val="ro-RO"/>
        </w:rPr>
      </w:pPr>
      <w:r w:rsidRPr="007873B4">
        <w:rPr>
          <w:lang w:val="ro-RO"/>
        </w:rPr>
        <w:t>Această diferență explică de ce efectul asupra suveranității nu este identic pe toate continentele.</w:t>
      </w:r>
    </w:p>
    <w:p w14:paraId="4AD689DD" w14:textId="77777777" w:rsidR="001F2C21" w:rsidRPr="007873B4" w:rsidRDefault="001F2C21" w:rsidP="001F2C21">
      <w:pPr>
        <w:pStyle w:val="isselectedend"/>
        <w:rPr>
          <w:lang w:val="ro-RO"/>
        </w:rPr>
      </w:pPr>
      <w:r w:rsidRPr="007873B4">
        <w:rPr>
          <w:lang w:val="ro-RO"/>
        </w:rPr>
        <w:t>Într-un stat care păstrează integral competența de a alege instrumentele, Agenda funcționează predominant ca orientare, monitorizare și cooperare. Într-o structură supranațională precum Uniunea Europeană, aceleași obiective pot trece printr-un nivel suplimentar, în care sunt transformate în legislație, ținte obligatorii, programe bugetare și condiționalități.</w:t>
      </w:r>
    </w:p>
    <w:p w14:paraId="2373AE4A" w14:textId="77777777" w:rsidR="001F2C21" w:rsidRPr="007873B4" w:rsidRDefault="001F2C21" w:rsidP="001F2C21">
      <w:pPr>
        <w:pStyle w:val="isselectedend"/>
        <w:rPr>
          <w:lang w:val="ro-RO"/>
        </w:rPr>
      </w:pPr>
      <w:r w:rsidRPr="007873B4">
        <w:rPr>
          <w:lang w:val="ro-RO"/>
        </w:rPr>
        <w:t>Pentru România, tocmai acest nivel intermediar este decisiv.</w:t>
      </w:r>
    </w:p>
    <w:p w14:paraId="27F21FE8" w14:textId="77777777" w:rsidR="001F2C21" w:rsidRPr="007873B4" w:rsidRDefault="001F2C21" w:rsidP="001F2C21">
      <w:pPr>
        <w:pStyle w:val="isselectedend"/>
        <w:rPr>
          <w:lang w:val="ro-RO"/>
        </w:rPr>
      </w:pPr>
      <w:r w:rsidRPr="007873B4">
        <w:rPr>
          <w:lang w:val="ro-RO"/>
        </w:rPr>
        <w:t>Lanțul pe care îl vom urmări în continuarea studiului trebuie, prin urmare, formulat mai precis. Agenda 2030 nu coboară direct de la ONU la contribuabilul român. Între cele două se găsesc mecanisme de selecție, adaptare și transformare.</w:t>
      </w:r>
    </w:p>
    <w:p w14:paraId="0EBEC4A7" w14:textId="77777777" w:rsidR="001F2C21" w:rsidRPr="007873B4" w:rsidRDefault="001F2C21" w:rsidP="001F2C21">
      <w:pPr>
        <w:pStyle w:val="isselectedend"/>
        <w:rPr>
          <w:lang w:val="ro-RO"/>
        </w:rPr>
      </w:pPr>
      <w:r w:rsidRPr="007873B4">
        <w:rPr>
          <w:lang w:val="ro-RO"/>
        </w:rPr>
        <w:t>Agenda 2030 formulează obiectivul universal. Instituțiile internaționale dezvoltă expertiza și instrumentele de măsurare. Uniunea Europeană selectează și operaționalizează o parte dintre aceste direcții în cadrul propriului sistem juridic și financiar. România participă la adoptarea, negocierea sau acceptarea lor. Guvernul le transformă în politici și acte normative. Administrația le execută. Abia la capătul acestui proces apare efectul asupra cetățeanului.</w:t>
      </w:r>
    </w:p>
    <w:p w14:paraId="478AE514" w14:textId="77777777" w:rsidR="001F2C21" w:rsidRPr="007873B4" w:rsidRDefault="001F2C21" w:rsidP="001F2C21">
      <w:pPr>
        <w:pStyle w:val="NormalWeb"/>
        <w:rPr>
          <w:lang w:val="ro-RO"/>
        </w:rPr>
      </w:pPr>
      <w:r w:rsidRPr="007873B4">
        <w:rPr>
          <w:lang w:val="ro-RO"/>
        </w:rPr>
        <w:t>Această arhitectură este mult mai importantă pentru studiul suveranității decât ipoteza unui ordin unic venit de la ONU. Ea permite identificarea exactă, etapă cu etapă, a locului în care o orientare devine obiectiv, obiectivul devine angajament, angajamentul devine condiționalitate, iar condiționalitatea devine obligație juridică pentru stat sau cetățean.</w:t>
      </w:r>
    </w:p>
    <w:p w14:paraId="269F6D7F" w14:textId="77777777" w:rsidR="00B81F1C" w:rsidRPr="007873B4" w:rsidRDefault="00B81F1C" w:rsidP="00B81F1C">
      <w:pPr>
        <w:pStyle w:val="isselectedend"/>
        <w:rPr>
          <w:lang w:val="ro-RO"/>
        </w:rPr>
      </w:pPr>
      <w:r w:rsidRPr="007873B4">
        <w:rPr>
          <w:lang w:val="ro-RO"/>
        </w:rPr>
        <w:t>O Agendă universală într-o lume care nu este universală. Continente, religii, civilizații și sisteme politice</w:t>
      </w:r>
    </w:p>
    <w:p w14:paraId="4D38647F" w14:textId="77777777" w:rsidR="00B81F1C" w:rsidRPr="007873B4" w:rsidRDefault="00B81F1C" w:rsidP="00B81F1C">
      <w:pPr>
        <w:pStyle w:val="isselectedend"/>
        <w:rPr>
          <w:lang w:val="ro-RO"/>
        </w:rPr>
      </w:pPr>
      <w:r w:rsidRPr="007873B4">
        <w:rPr>
          <w:lang w:val="ro-RO"/>
        </w:rPr>
        <w:t>Pentru înțelegerea reală a Agendei 2030 trebuie pornit de la un aparent paradox. În anul 2015, cele 193 de state membre ONU au acceptat un document care proclamă obiective universale, deși aceste state nu împărtășesc nici același sistem politic, nici aceeași concepție economică, nici aceeași religie, nici aceeași înțelegere a familiei, individului, proprietății, drepturilor sociale sau raportului dintre cetățean și autoritate.</w:t>
      </w:r>
    </w:p>
    <w:p w14:paraId="0774414B" w14:textId="77777777" w:rsidR="00B81F1C" w:rsidRPr="007873B4" w:rsidRDefault="00B81F1C" w:rsidP="00B81F1C">
      <w:pPr>
        <w:pStyle w:val="isselectedend"/>
        <w:rPr>
          <w:lang w:val="ro-RO"/>
        </w:rPr>
      </w:pPr>
      <w:r w:rsidRPr="007873B4">
        <w:rPr>
          <w:lang w:val="ro-RO"/>
        </w:rPr>
        <w:t>În același sistem au intrat democrațiile liberale occidentale, China comunistă, monarhiile islamice din Golf, republicile islamice, statele africane cu tradiții culturale diferite, India, Rusia, statele latino-americane și micile state insulare. Nu putea exista consens dacă Agenda ar fi presupus adoptarea aceluiași model social și politic.</w:t>
      </w:r>
    </w:p>
    <w:p w14:paraId="11F995F8" w14:textId="77777777" w:rsidR="00B81F1C" w:rsidRPr="007873B4" w:rsidRDefault="00B81F1C" w:rsidP="00B81F1C">
      <w:pPr>
        <w:pStyle w:val="isselectedend"/>
        <w:rPr>
          <w:lang w:val="ro-RO"/>
        </w:rPr>
      </w:pPr>
      <w:r w:rsidRPr="007873B4">
        <w:rPr>
          <w:lang w:val="ro-RO"/>
        </w:rPr>
        <w:t>Compromisul din 2015 se găsește chiar în textul documentului. Agenda declară obiectivele universale, dar afirmă simultan că trebuie luate în considerare diferitele realități naționale, capacitățile și nivelurile de dezvoltare și că trebuie respectate politicile și prioritățile naționale. Mai mult, documentul reafirmă că fiecare stat își exercită liber suveranitatea permanentă asupra bogățiilor, resurselor naturale și activității sale economice.</w:t>
      </w:r>
    </w:p>
    <w:p w14:paraId="2EFAF5A8" w14:textId="77777777" w:rsidR="00B81F1C" w:rsidRPr="007873B4" w:rsidRDefault="00B81F1C" w:rsidP="00B81F1C">
      <w:pPr>
        <w:pStyle w:val="isselectedend"/>
        <w:rPr>
          <w:lang w:val="ro-RO"/>
        </w:rPr>
      </w:pPr>
      <w:r w:rsidRPr="007873B4">
        <w:rPr>
          <w:lang w:val="ro-RO"/>
        </w:rPr>
        <w:lastRenderedPageBreak/>
        <w:t>Prin urmare, consensul inițial nu a fost construit pe uniformitatea lumii, ci pe o formulă care permitea unor sisteme fundamental diferite să semneze același document și să îi atribuie implementări diferite.</w:t>
      </w:r>
    </w:p>
    <w:p w14:paraId="6CAEE819" w14:textId="77777777" w:rsidR="00B81F1C" w:rsidRPr="007873B4" w:rsidRDefault="00B81F1C" w:rsidP="00B81F1C">
      <w:pPr>
        <w:pStyle w:val="isselectedend"/>
        <w:rPr>
          <w:lang w:val="ro-RO"/>
        </w:rPr>
      </w:pPr>
      <w:r w:rsidRPr="007873B4">
        <w:rPr>
          <w:lang w:val="ro-RO"/>
        </w:rPr>
        <w:t>China reprezintă probabil cel mai clar exemplu.</w:t>
      </w:r>
    </w:p>
    <w:p w14:paraId="0D0AFE85" w14:textId="77777777" w:rsidR="00B81F1C" w:rsidRPr="007873B4" w:rsidRDefault="00B81F1C" w:rsidP="00B81F1C">
      <w:pPr>
        <w:pStyle w:val="isselectedend"/>
        <w:rPr>
          <w:lang w:val="ro-RO"/>
        </w:rPr>
      </w:pPr>
      <w:r w:rsidRPr="007873B4">
        <w:rPr>
          <w:lang w:val="ro-RO"/>
        </w:rPr>
        <w:t>China nu a fost un stat care a refuzat Agenda 2030 și a fost ulterior obligat să o accepte. Dimpotrivă, China s-a aflat între cele 193 de state care au convenit Agenda în 2015 și a devenit ulterior un participant activ la implementarea acesteia.</w:t>
      </w:r>
    </w:p>
    <w:p w14:paraId="79D2FC78" w14:textId="77777777" w:rsidR="00B81F1C" w:rsidRPr="007873B4" w:rsidRDefault="00B81F1C" w:rsidP="00B81F1C">
      <w:pPr>
        <w:pStyle w:val="isselectedend"/>
        <w:rPr>
          <w:lang w:val="ro-RO"/>
        </w:rPr>
      </w:pPr>
      <w:r w:rsidRPr="007873B4">
        <w:rPr>
          <w:lang w:val="ro-RO"/>
        </w:rPr>
        <w:t>Dar China a introdus o condiție politică fundamentală. În documentul său oficial privind implementarea Agendei 2030 a consacrat principiul „suveranității și acțiunii voluntare”. Beijingul afirmă că fiecare stat deține suveranitate deplină asupra propriei dezvoltări economice și asupra implementării Agendei și că statele trebuie să își elaboreze strategiile potrivit condițiilor și caracteristicilor naționale. China insistă de asemenea asupra dreptului fiecărei țări de a-și alege propria cale de dezvoltare.</w:t>
      </w:r>
    </w:p>
    <w:p w14:paraId="2E2C84BA" w14:textId="77777777" w:rsidR="00B81F1C" w:rsidRPr="007873B4" w:rsidRDefault="00B81F1C" w:rsidP="00B81F1C">
      <w:pPr>
        <w:pStyle w:val="isselectedend"/>
        <w:rPr>
          <w:lang w:val="ro-RO"/>
        </w:rPr>
      </w:pPr>
      <w:r w:rsidRPr="007873B4">
        <w:rPr>
          <w:lang w:val="ro-RO"/>
        </w:rPr>
        <w:t>Aceasta înseamnă că Beijingul a acceptat obiectivele, dar nu a acceptat ca ele să transforme China într-o democrație liberală occidentală.</w:t>
      </w:r>
    </w:p>
    <w:p w14:paraId="7CEC943B" w14:textId="77777777" w:rsidR="00B81F1C" w:rsidRPr="007873B4" w:rsidRDefault="00B81F1C" w:rsidP="00B81F1C">
      <w:pPr>
        <w:pStyle w:val="isselectedend"/>
        <w:rPr>
          <w:lang w:val="ro-RO"/>
        </w:rPr>
      </w:pPr>
      <w:r w:rsidRPr="007873B4">
        <w:rPr>
          <w:lang w:val="ro-RO"/>
        </w:rPr>
        <w:t>China a integrat SDG în propriile planuri cincinale. A legat Agenda de combaterea sărăciei, dezvoltarea industrială, inovare, agricultură, sănătate, biodiversitate și politica climatică, dar implementarea se face prin instituțiile statului chinez și în cadrul strategiei chineze de dezvoltare. Chiar raportările oficiale arată sincronizarea SDG cu planurile cincinale chineze.</w:t>
      </w:r>
    </w:p>
    <w:p w14:paraId="1AFF9246" w14:textId="77777777" w:rsidR="00B81F1C" w:rsidRPr="007873B4" w:rsidRDefault="00B81F1C" w:rsidP="00B81F1C">
      <w:pPr>
        <w:pStyle w:val="isselectedend"/>
        <w:rPr>
          <w:lang w:val="ro-RO"/>
        </w:rPr>
      </w:pPr>
      <w:r w:rsidRPr="007873B4">
        <w:rPr>
          <w:lang w:val="ro-RO"/>
        </w:rPr>
        <w:t>Mai mult, colaborarea continuă. Cadrul ONU–China 2026–2030 a fost lansat în ianuarie 2026 și este coordonat împreună de autoritățile chineze și ONU.</w:t>
      </w:r>
    </w:p>
    <w:p w14:paraId="599B3E33" w14:textId="77777777" w:rsidR="00B81F1C" w:rsidRPr="007873B4" w:rsidRDefault="00B81F1C" w:rsidP="00B81F1C">
      <w:pPr>
        <w:pStyle w:val="isselectedend"/>
        <w:rPr>
          <w:lang w:val="ro-RO"/>
        </w:rPr>
      </w:pPr>
      <w:r w:rsidRPr="007873B4">
        <w:rPr>
          <w:lang w:val="ro-RO"/>
        </w:rPr>
        <w:t>Așadar, cazul Chinei demonstrează ceva foarte important pentru studiul nostru. Agenda 2030 nu impune în mod necesar un singur sistem politic. Un stat autoritar poate adopta obiectivele privind sărăcia, clima, infrastructura, sănătatea sau dezvoltarea durabilă fără a adopta pluralismul politic occidental.</w:t>
      </w:r>
    </w:p>
    <w:p w14:paraId="33AE2244" w14:textId="77777777" w:rsidR="00B81F1C" w:rsidRPr="007873B4" w:rsidRDefault="00B81F1C" w:rsidP="00B81F1C">
      <w:pPr>
        <w:pStyle w:val="isselectedend"/>
        <w:rPr>
          <w:lang w:val="ro-RO"/>
        </w:rPr>
      </w:pPr>
      <w:r w:rsidRPr="007873B4">
        <w:rPr>
          <w:lang w:val="ro-RO"/>
        </w:rPr>
        <w:t>China merge chiar mai departe. În discursul său internațional cere respectarea sistemelor sociale și a modelelor de protecție a drepturilor omului alese de fiecare stat și respinge impunerea din exterior a unui model sau a unor valori.</w:t>
      </w:r>
    </w:p>
    <w:p w14:paraId="3A654838" w14:textId="77777777" w:rsidR="00B81F1C" w:rsidRPr="007873B4" w:rsidRDefault="00B81F1C" w:rsidP="00B81F1C">
      <w:pPr>
        <w:pStyle w:val="isselectedend"/>
        <w:rPr>
          <w:lang w:val="ro-RO"/>
        </w:rPr>
      </w:pPr>
      <w:r w:rsidRPr="007873B4">
        <w:rPr>
          <w:lang w:val="ro-RO"/>
        </w:rPr>
        <w:t>Avem deci Agenda 2030 aplicată într-un sistem comunist cu partid dominant fără ca ONU să îi impună transformarea într-un sistem occidental.</w:t>
      </w:r>
    </w:p>
    <w:p w14:paraId="5A906B0D" w14:textId="77777777" w:rsidR="00B81F1C" w:rsidRPr="007873B4" w:rsidRDefault="00B81F1C" w:rsidP="00B81F1C">
      <w:pPr>
        <w:pStyle w:val="isselectedend"/>
        <w:rPr>
          <w:lang w:val="ro-RO"/>
        </w:rPr>
      </w:pPr>
      <w:r w:rsidRPr="007873B4">
        <w:rPr>
          <w:lang w:val="ro-RO"/>
        </w:rPr>
        <w:t>Lumea arabă reprezintă un al doilea caz și mai relevant pentru problema religiei.</w:t>
      </w:r>
    </w:p>
    <w:p w14:paraId="7167C256" w14:textId="77777777" w:rsidR="00B81F1C" w:rsidRPr="007873B4" w:rsidRDefault="00B81F1C" w:rsidP="00B81F1C">
      <w:pPr>
        <w:pStyle w:val="isselectedend"/>
        <w:rPr>
          <w:lang w:val="ro-RO"/>
        </w:rPr>
      </w:pPr>
      <w:r w:rsidRPr="007873B4">
        <w:rPr>
          <w:lang w:val="ro-RO"/>
        </w:rPr>
        <w:t>Statele arabe au participat la consensul asupra Agendei, dar negocierile au arătat că acceptarea obiectivelor nu însemna acceptarea automată a tuturor interpretărilor sociale occidentale.</w:t>
      </w:r>
    </w:p>
    <w:p w14:paraId="34975DAC" w14:textId="77777777" w:rsidR="00B81F1C" w:rsidRPr="007873B4" w:rsidRDefault="00B81F1C" w:rsidP="00B81F1C">
      <w:pPr>
        <w:pStyle w:val="isselectedend"/>
        <w:rPr>
          <w:lang w:val="ro-RO"/>
        </w:rPr>
      </w:pPr>
      <w:r w:rsidRPr="007873B4">
        <w:rPr>
          <w:lang w:val="ro-RO"/>
        </w:rPr>
        <w:lastRenderedPageBreak/>
        <w:t>În dezbaterile ONU care au precedat adoptarea finală au fost formulate rezerve privind drepturile sexuale și reproductive, orientarea sexuală și definiția familiei. Grupul African a avertizat că implementarea nu trebuie să submineze dreptul statelor de a-și stabili propriile politici și că Agenda nu trebuie să transforme anumite valori în valori universale pentru întreaga omenire. Statele africane au precizat că obiectivele vor fi implementate potrivit valorilor culturale și religioase ale propriilor societăți.</w:t>
      </w:r>
    </w:p>
    <w:p w14:paraId="2DF14FD9" w14:textId="77777777" w:rsidR="00B81F1C" w:rsidRPr="007873B4" w:rsidRDefault="00B81F1C" w:rsidP="00B81F1C">
      <w:pPr>
        <w:pStyle w:val="isselectedend"/>
        <w:rPr>
          <w:lang w:val="ro-RO"/>
        </w:rPr>
      </w:pPr>
      <w:r w:rsidRPr="007873B4">
        <w:rPr>
          <w:lang w:val="ro-RO"/>
        </w:rPr>
        <w:t>Aceasta este o constatare extrem de importantă.</w:t>
      </w:r>
    </w:p>
    <w:p w14:paraId="1D9112CC" w14:textId="77777777" w:rsidR="00B81F1C" w:rsidRPr="007873B4" w:rsidRDefault="00B81F1C" w:rsidP="00B81F1C">
      <w:pPr>
        <w:pStyle w:val="isselectedend"/>
        <w:rPr>
          <w:lang w:val="ro-RO"/>
        </w:rPr>
      </w:pPr>
      <w:r w:rsidRPr="007873B4">
        <w:rPr>
          <w:lang w:val="ro-RO"/>
        </w:rPr>
        <w:t>Universalitatea obiectivului nu a însemnat universalitatea interpretării culturale.</w:t>
      </w:r>
    </w:p>
    <w:p w14:paraId="618AE337" w14:textId="77777777" w:rsidR="00B81F1C" w:rsidRPr="007873B4" w:rsidRDefault="00B81F1C" w:rsidP="00B81F1C">
      <w:pPr>
        <w:pStyle w:val="isselectedend"/>
        <w:rPr>
          <w:lang w:val="ro-RO"/>
        </w:rPr>
      </w:pPr>
      <w:r w:rsidRPr="007873B4">
        <w:rPr>
          <w:lang w:val="ro-RO"/>
        </w:rPr>
        <w:t>În statele arabe, islamul poate reprezenta nu numai religia majoritară, ci și una dintre sursele ordinii juridice și ale legitimității politice. Arabia Saudită, Emiratele Arabe Unite, Qatarul, Iordania, Egiptul sau alte state din regiune nu au sisteme constituționale identice cu cele occidentale și nici între ele.</w:t>
      </w:r>
    </w:p>
    <w:p w14:paraId="283B9D48" w14:textId="77777777" w:rsidR="00B81F1C" w:rsidRPr="007873B4" w:rsidRDefault="00B81F1C" w:rsidP="00B81F1C">
      <w:pPr>
        <w:pStyle w:val="isselectedend"/>
        <w:rPr>
          <w:lang w:val="ro-RO"/>
        </w:rPr>
      </w:pPr>
      <w:r w:rsidRPr="007873B4">
        <w:rPr>
          <w:lang w:val="ro-RO"/>
        </w:rPr>
        <w:t>Cu toate acestea, există o structură regională ONU specializată, ESCWA, care lucrează tocmai asupra implementării Agendei 2030 în statele arabe. Programele sale sunt adaptate priorităților regionale stabilite împreună cu statele membre.</w:t>
      </w:r>
    </w:p>
    <w:p w14:paraId="120DA701" w14:textId="77777777" w:rsidR="00B81F1C" w:rsidRPr="007873B4" w:rsidRDefault="00B81F1C" w:rsidP="00B81F1C">
      <w:pPr>
        <w:pStyle w:val="isselectedend"/>
        <w:rPr>
          <w:lang w:val="ro-RO"/>
        </w:rPr>
      </w:pPr>
      <w:r w:rsidRPr="007873B4">
        <w:rPr>
          <w:lang w:val="ro-RO"/>
        </w:rPr>
        <w:t>Aceasta demonstrează caracterul modular al sistemului. Aceleași 17 obiective pot fi urmărite în Suedia, Arabia Saudită și China, dar prin sisteme juridice și politice profund diferite.</w:t>
      </w:r>
    </w:p>
    <w:p w14:paraId="30CC8EA8" w14:textId="77777777" w:rsidR="00B81F1C" w:rsidRPr="007873B4" w:rsidRDefault="00B81F1C" w:rsidP="00B81F1C">
      <w:pPr>
        <w:pStyle w:val="isselectedend"/>
        <w:rPr>
          <w:lang w:val="ro-RO"/>
        </w:rPr>
      </w:pPr>
      <w:r w:rsidRPr="007873B4">
        <w:rPr>
          <w:lang w:val="ro-RO"/>
        </w:rPr>
        <w:t>Iranul este și mai relevant. Reprezentantul Iranului a susținut Agenda ca document universal și istoric, dar a reiterat rezerve și a insistat asupra „</w:t>
      </w:r>
      <w:proofErr w:type="spellStart"/>
      <w:r w:rsidRPr="007873B4">
        <w:rPr>
          <w:lang w:val="ro-RO"/>
        </w:rPr>
        <w:t>national</w:t>
      </w:r>
      <w:proofErr w:type="spellEnd"/>
      <w:r w:rsidRPr="007873B4">
        <w:rPr>
          <w:lang w:val="ro-RO"/>
        </w:rPr>
        <w:t xml:space="preserve"> </w:t>
      </w:r>
      <w:proofErr w:type="spellStart"/>
      <w:r w:rsidRPr="007873B4">
        <w:rPr>
          <w:lang w:val="ro-RO"/>
        </w:rPr>
        <w:t>ownership</w:t>
      </w:r>
      <w:proofErr w:type="spellEnd"/>
      <w:r w:rsidRPr="007873B4">
        <w:rPr>
          <w:lang w:val="ro-RO"/>
        </w:rPr>
        <w:t>”, asupra faptului că raportarea trebuie condusă de guvernele naționale și că nimic din document nu trebuie să prevaleze asupra priorităților naționale.</w:t>
      </w:r>
    </w:p>
    <w:p w14:paraId="32898CD6" w14:textId="77777777" w:rsidR="00B81F1C" w:rsidRPr="007873B4" w:rsidRDefault="00B81F1C" w:rsidP="00B81F1C">
      <w:pPr>
        <w:pStyle w:val="isselectedend"/>
        <w:rPr>
          <w:lang w:val="ro-RO"/>
        </w:rPr>
      </w:pPr>
      <w:r w:rsidRPr="007873B4">
        <w:rPr>
          <w:lang w:val="ro-RO"/>
        </w:rPr>
        <w:t>Acesta este exact tipul de compromis care a făcut posibil consensul.</w:t>
      </w:r>
    </w:p>
    <w:p w14:paraId="61ECC45C" w14:textId="77777777" w:rsidR="00B81F1C" w:rsidRPr="007873B4" w:rsidRDefault="00B81F1C" w:rsidP="00B81F1C">
      <w:pPr>
        <w:pStyle w:val="isselectedend"/>
        <w:rPr>
          <w:lang w:val="ro-RO"/>
        </w:rPr>
      </w:pPr>
      <w:r w:rsidRPr="007873B4">
        <w:rPr>
          <w:lang w:val="ro-RO"/>
        </w:rPr>
        <w:t>Statele islamice puteau accepta obiective privind sărăcia, sănătatea, educația, apa, energia, dezvoltarea economică și protecția mediului fără să considere că prin aceasta acceptă automat toate concepțiile sociale occidentale.</w:t>
      </w:r>
    </w:p>
    <w:p w14:paraId="5335D65C" w14:textId="77777777" w:rsidR="00B81F1C" w:rsidRPr="007873B4" w:rsidRDefault="00B81F1C" w:rsidP="00B81F1C">
      <w:pPr>
        <w:pStyle w:val="isselectedend"/>
        <w:rPr>
          <w:lang w:val="ro-RO"/>
        </w:rPr>
      </w:pPr>
      <w:r w:rsidRPr="007873B4">
        <w:rPr>
          <w:lang w:val="ro-RO"/>
        </w:rPr>
        <w:t>Africa reprezintă al treilea model.</w:t>
      </w:r>
    </w:p>
    <w:p w14:paraId="536D7890" w14:textId="77777777" w:rsidR="00B81F1C" w:rsidRPr="007873B4" w:rsidRDefault="00B81F1C" w:rsidP="00B81F1C">
      <w:pPr>
        <w:pStyle w:val="isselectedend"/>
        <w:rPr>
          <w:lang w:val="ro-RO"/>
        </w:rPr>
      </w:pPr>
      <w:r w:rsidRPr="007873B4">
        <w:rPr>
          <w:lang w:val="ro-RO"/>
        </w:rPr>
        <w:t>Pentru numeroase state africane, dezvoltarea durabilă are un conținut imediat diferit de cel european. Accesul la apă, electricitate, hrană, infrastructură, servicii sanitare, educație și reducerea sărăciei ocupă un loc mult mai important.</w:t>
      </w:r>
    </w:p>
    <w:p w14:paraId="29B710CB" w14:textId="77777777" w:rsidR="00B81F1C" w:rsidRPr="007873B4" w:rsidRDefault="00B81F1C" w:rsidP="00B81F1C">
      <w:pPr>
        <w:pStyle w:val="isselectedend"/>
        <w:rPr>
          <w:lang w:val="ro-RO"/>
        </w:rPr>
      </w:pPr>
      <w:r w:rsidRPr="007873B4">
        <w:rPr>
          <w:lang w:val="ro-RO"/>
        </w:rPr>
        <w:t>Dar poziția Grupului African în negocierile din 2015 este deosebit de relevantă pentru studiul nostru. Grupul a susținut Agenda, insistând simultan că mecanismul de monitorizare nu trebuie să afecteze dreptul statelor de a-și crea propriile politici și că obiectivele trebuie aplicate în concordanță cu valorile culturale și religioase ale statelor africane.</w:t>
      </w:r>
    </w:p>
    <w:p w14:paraId="6F0C0579" w14:textId="77777777" w:rsidR="00B81F1C" w:rsidRPr="007873B4" w:rsidRDefault="00B81F1C" w:rsidP="00B81F1C">
      <w:pPr>
        <w:pStyle w:val="isselectedend"/>
        <w:rPr>
          <w:lang w:val="ro-RO"/>
        </w:rPr>
      </w:pPr>
      <w:r w:rsidRPr="007873B4">
        <w:rPr>
          <w:lang w:val="ro-RO"/>
        </w:rPr>
        <w:lastRenderedPageBreak/>
        <w:t>Apare astfel o primă concluzie importantă. Statele care aveau sisteme culturale și politice foarte diferite de modelul liberal occidental nu au fost excluse din Agenda 2030. Au obținut sau au invocat un spațiu considerabil de adaptare.</w:t>
      </w:r>
    </w:p>
    <w:p w14:paraId="3B3AE8F8" w14:textId="77777777" w:rsidR="00B81F1C" w:rsidRPr="007873B4" w:rsidRDefault="00B81F1C" w:rsidP="00B81F1C">
      <w:pPr>
        <w:pStyle w:val="isselectedend"/>
        <w:rPr>
          <w:lang w:val="ro-RO"/>
        </w:rPr>
      </w:pPr>
      <w:r w:rsidRPr="007873B4">
        <w:rPr>
          <w:lang w:val="ro-RO"/>
        </w:rPr>
        <w:t>America Latină reprezintă o altă situație. Aici găsim state democratice, dar tradiții economice foarte diferite, de la economii relativ liberale până la modele cu intervenție puternică a statului. Cuba, Venezuela și Nicaragua au participat la sistemul ONU, dar au contestat în diferite momente ceea ce considerau încercări de impunere a unor criterii asupra statelor.</w:t>
      </w:r>
    </w:p>
    <w:p w14:paraId="5E084F3A" w14:textId="77777777" w:rsidR="00B81F1C" w:rsidRPr="007873B4" w:rsidRDefault="00B81F1C" w:rsidP="00B81F1C">
      <w:pPr>
        <w:pStyle w:val="isselectedend"/>
        <w:rPr>
          <w:lang w:val="ro-RO"/>
        </w:rPr>
      </w:pPr>
      <w:r w:rsidRPr="007873B4">
        <w:rPr>
          <w:lang w:val="ro-RO"/>
        </w:rPr>
        <w:t>Dezbaterile ONU din 2016 sunt foarte sugestive. Cuba a criticat tendința de a impune anumite criterii statelor membre în cadrul negocierilor. Nicaragua a respins ceea ce considera impuneri ale facilitatorilor negocierilor. Venezuela a insistat ca sensibilitățile tuturor statelor, în special ale celor în curs de dezvoltare, să fie reflectate în implementare.</w:t>
      </w:r>
    </w:p>
    <w:p w14:paraId="7FD45BCD" w14:textId="77777777" w:rsidR="00B81F1C" w:rsidRPr="007873B4" w:rsidRDefault="00B81F1C" w:rsidP="00B81F1C">
      <w:pPr>
        <w:pStyle w:val="isselectedend"/>
        <w:rPr>
          <w:lang w:val="ro-RO"/>
        </w:rPr>
      </w:pPr>
      <w:r w:rsidRPr="007873B4">
        <w:rPr>
          <w:lang w:val="ro-RO"/>
        </w:rPr>
        <w:t>Dar și aici trebuie păstrată diferența dintre două afirmații.</w:t>
      </w:r>
    </w:p>
    <w:p w14:paraId="10D2D1B8" w14:textId="77777777" w:rsidR="00B81F1C" w:rsidRPr="007873B4" w:rsidRDefault="00B81F1C" w:rsidP="00B81F1C">
      <w:pPr>
        <w:pStyle w:val="isselectedend"/>
        <w:rPr>
          <w:lang w:val="ro-RO"/>
        </w:rPr>
      </w:pPr>
      <w:r w:rsidRPr="007873B4">
        <w:rPr>
          <w:lang w:val="ro-RO"/>
        </w:rPr>
        <w:t>Au existat conflicte și acuzații privind „impunerea” anumitor criterii în negocierile internaționale.</w:t>
      </w:r>
    </w:p>
    <w:p w14:paraId="02C43845" w14:textId="77777777" w:rsidR="00B81F1C" w:rsidRPr="007873B4" w:rsidRDefault="00B81F1C" w:rsidP="00B81F1C">
      <w:pPr>
        <w:pStyle w:val="isselectedend"/>
        <w:rPr>
          <w:lang w:val="ro-RO"/>
        </w:rPr>
      </w:pPr>
      <w:r w:rsidRPr="007873B4">
        <w:rPr>
          <w:lang w:val="ro-RO"/>
        </w:rPr>
        <w:t>Aceasta nu demonstrează însă că statele respective au refuzat Agenda 2030 și au fost juridic constrânse să o adopte.</w:t>
      </w:r>
    </w:p>
    <w:p w14:paraId="3CAF59ED" w14:textId="77777777" w:rsidR="00B81F1C" w:rsidRPr="007873B4" w:rsidRDefault="00B81F1C" w:rsidP="00B81F1C">
      <w:pPr>
        <w:pStyle w:val="isselectedend"/>
        <w:rPr>
          <w:lang w:val="ro-RO"/>
        </w:rPr>
      </w:pPr>
      <w:r w:rsidRPr="007873B4">
        <w:rPr>
          <w:lang w:val="ro-RO"/>
        </w:rPr>
        <w:t>Dimpotrivă, documentul final a fost adoptat prin consens, iar chiar statele care formulaseră rezerve au putut rămâne în interiorul cadrului tocmai pentru că acesta recunoștea prioritățile și realitățile naționale.</w:t>
      </w:r>
    </w:p>
    <w:p w14:paraId="2E19AF0B" w14:textId="77777777" w:rsidR="00B81F1C" w:rsidRPr="007873B4" w:rsidRDefault="00B81F1C" w:rsidP="00B81F1C">
      <w:pPr>
        <w:pStyle w:val="isselectedend"/>
        <w:rPr>
          <w:lang w:val="ro-RO"/>
        </w:rPr>
      </w:pPr>
      <w:r w:rsidRPr="007873B4">
        <w:rPr>
          <w:lang w:val="ro-RO"/>
        </w:rPr>
        <w:t>Rusia reprezintă un alt model care trebuie tratat separat în studiul complet. Federația Rusă nu este echivalentă nici cu China, nici cu statele arabe și nici cu modelul occidental. Ea combină economia de piață cu un stat centralizat și cu accentul politic pus asupra suveranității, tradiției și identității naționale. În analiza finală trebuie urmărit distinct modul în care Rusia a acceptat obiectivele de dezvoltare, dar a contestat interpretările occidentale privind anumite valori sociale și drepturi.</w:t>
      </w:r>
    </w:p>
    <w:p w14:paraId="2A5D1097" w14:textId="77777777" w:rsidR="00B81F1C" w:rsidRPr="007873B4" w:rsidRDefault="00B81F1C" w:rsidP="00B81F1C">
      <w:pPr>
        <w:pStyle w:val="isselectedend"/>
        <w:rPr>
          <w:lang w:val="ro-RO"/>
        </w:rPr>
      </w:pPr>
      <w:r w:rsidRPr="007873B4">
        <w:rPr>
          <w:lang w:val="ro-RO"/>
        </w:rPr>
        <w:t>India necesită de asemenea un capitol propriu în interiorul comparației asiatice. Este o democrație electorală, dar cu o structură religioasă, socială, demografică și economică profund diferită de Europa. Implementarea obiectivelor privind sărăcia, energia, urbanizarea, sănătatea sau egalitatea nu poate fi comparată mecanic cu cea europeană.</w:t>
      </w:r>
    </w:p>
    <w:p w14:paraId="4F52314B" w14:textId="77777777" w:rsidR="00B81F1C" w:rsidRPr="007873B4" w:rsidRDefault="00B81F1C" w:rsidP="00B81F1C">
      <w:pPr>
        <w:pStyle w:val="isselectedend"/>
        <w:rPr>
          <w:lang w:val="ro-RO"/>
        </w:rPr>
      </w:pPr>
      <w:r w:rsidRPr="007873B4">
        <w:rPr>
          <w:lang w:val="ro-RO"/>
        </w:rPr>
        <w:t>America de Nord reprezintă o situație iarăși diferită.</w:t>
      </w:r>
    </w:p>
    <w:p w14:paraId="1F39EC2E" w14:textId="77777777" w:rsidR="00B81F1C" w:rsidRPr="007873B4" w:rsidRDefault="00B81F1C" w:rsidP="00B81F1C">
      <w:pPr>
        <w:pStyle w:val="isselectedend"/>
        <w:rPr>
          <w:lang w:val="ro-RO"/>
        </w:rPr>
      </w:pPr>
      <w:r w:rsidRPr="007873B4">
        <w:rPr>
          <w:lang w:val="ro-RO"/>
        </w:rPr>
        <w:t>Statele Unite au participat la consensul din 2015, dar reprezentantul american a precizat explicit că prevederile Agendei nu creează noi drepturi sau noi obligații de drept internațional și că trebuie recunoscută suveranitatea permanentă a statelor.</w:t>
      </w:r>
    </w:p>
    <w:p w14:paraId="0C2663B3" w14:textId="77777777" w:rsidR="00B81F1C" w:rsidRPr="007873B4" w:rsidRDefault="00B81F1C" w:rsidP="00B81F1C">
      <w:pPr>
        <w:pStyle w:val="isselectedend"/>
        <w:rPr>
          <w:lang w:val="ro-RO"/>
        </w:rPr>
      </w:pPr>
      <w:r w:rsidRPr="007873B4">
        <w:rPr>
          <w:lang w:val="ro-RO"/>
        </w:rPr>
        <w:t>Această poziție este esențială pentru comparația noastră cu Europa.</w:t>
      </w:r>
    </w:p>
    <w:p w14:paraId="37CB8C57" w14:textId="77777777" w:rsidR="00B81F1C" w:rsidRPr="007873B4" w:rsidRDefault="00B81F1C" w:rsidP="00B81F1C">
      <w:pPr>
        <w:pStyle w:val="isselectedend"/>
        <w:rPr>
          <w:lang w:val="ro-RO"/>
        </w:rPr>
      </w:pPr>
      <w:r w:rsidRPr="007873B4">
        <w:rPr>
          <w:lang w:val="ro-RO"/>
        </w:rPr>
        <w:lastRenderedPageBreak/>
        <w:t>Statele Unite acceptă obiectivele globale fără existența unei autorități supranaționale echivalente Comisiei Europene, Consiliului și Curții de Justiție care să transforme Agenda într-o legislație federală obligatorie.</w:t>
      </w:r>
    </w:p>
    <w:p w14:paraId="16D3B5EE" w14:textId="77777777" w:rsidR="00B81F1C" w:rsidRPr="007873B4" w:rsidRDefault="00B81F1C" w:rsidP="00B81F1C">
      <w:pPr>
        <w:pStyle w:val="isselectedend"/>
        <w:rPr>
          <w:lang w:val="ro-RO"/>
        </w:rPr>
      </w:pPr>
      <w:r w:rsidRPr="007873B4">
        <w:rPr>
          <w:lang w:val="ro-RO"/>
        </w:rPr>
        <w:t>China acceptă Agenda, dar o subordonează explicit condițiilor sale naționale și planificării proprii.</w:t>
      </w:r>
    </w:p>
    <w:p w14:paraId="52F73A82" w14:textId="77777777" w:rsidR="00B81F1C" w:rsidRPr="007873B4" w:rsidRDefault="00B81F1C" w:rsidP="00B81F1C">
      <w:pPr>
        <w:pStyle w:val="isselectedend"/>
        <w:rPr>
          <w:lang w:val="ro-RO"/>
        </w:rPr>
      </w:pPr>
      <w:r w:rsidRPr="007873B4">
        <w:rPr>
          <w:lang w:val="ro-RO"/>
        </w:rPr>
        <w:t>Statele arabe acceptă obiectivele, dar își păstrează particularitățile religioase, juridice și politice.</w:t>
      </w:r>
    </w:p>
    <w:p w14:paraId="718C7F44" w14:textId="77777777" w:rsidR="00B81F1C" w:rsidRPr="007873B4" w:rsidRDefault="00B81F1C" w:rsidP="00B81F1C">
      <w:pPr>
        <w:pStyle w:val="isselectedend"/>
        <w:rPr>
          <w:lang w:val="ro-RO"/>
        </w:rPr>
      </w:pPr>
      <w:r w:rsidRPr="007873B4">
        <w:rPr>
          <w:lang w:val="ro-RO"/>
        </w:rPr>
        <w:t>Statele africane acceptă Agenda, dar insistă asupra valorilor culturale și religioase proprii și asupra dreptului la politici naționale.</w:t>
      </w:r>
    </w:p>
    <w:p w14:paraId="35FB3F14" w14:textId="77777777" w:rsidR="00B81F1C" w:rsidRPr="007873B4" w:rsidRDefault="00B81F1C" w:rsidP="00B81F1C">
      <w:pPr>
        <w:pStyle w:val="isselectedend"/>
        <w:rPr>
          <w:lang w:val="ro-RO"/>
        </w:rPr>
      </w:pPr>
      <w:r w:rsidRPr="007873B4">
        <w:rPr>
          <w:lang w:val="ro-RO"/>
        </w:rPr>
        <w:t>Statele Unite acceptă cadrul, dar afirmă că acesta nu creează noi obligații de drept internațional.</w:t>
      </w:r>
    </w:p>
    <w:p w14:paraId="02AFA0FC" w14:textId="77777777" w:rsidR="00B81F1C" w:rsidRPr="007873B4" w:rsidRDefault="00B81F1C" w:rsidP="00B81F1C">
      <w:pPr>
        <w:pStyle w:val="isselectedend"/>
        <w:rPr>
          <w:lang w:val="ro-RO"/>
        </w:rPr>
      </w:pPr>
      <w:r w:rsidRPr="007873B4">
        <w:rPr>
          <w:lang w:val="ro-RO"/>
        </w:rPr>
        <w:t>Uniunea Europeană reprezintă cazul diferit.</w:t>
      </w:r>
    </w:p>
    <w:p w14:paraId="26BF984C" w14:textId="77777777" w:rsidR="00B81F1C" w:rsidRPr="007873B4" w:rsidRDefault="00B81F1C" w:rsidP="00B81F1C">
      <w:pPr>
        <w:pStyle w:val="isselectedend"/>
        <w:rPr>
          <w:lang w:val="ro-RO"/>
        </w:rPr>
      </w:pPr>
      <w:r w:rsidRPr="007873B4">
        <w:rPr>
          <w:lang w:val="ro-RO"/>
        </w:rPr>
        <w:t>În Europa apare un nivel instituțional intermediar care nu există în aceeași formă în China, Statele Unite, statele arabe sau majoritatea statelor africane. Obiectivele globale pot fi preluate de Uniunea Europeană și transformate ulterior în strategii comune, regulamente, directive, ținte climatice, standarde, mecanisme financiare și condiționalități.</w:t>
      </w:r>
    </w:p>
    <w:p w14:paraId="1F4270A8" w14:textId="77777777" w:rsidR="00B81F1C" w:rsidRPr="007873B4" w:rsidRDefault="00B81F1C" w:rsidP="00B81F1C">
      <w:pPr>
        <w:pStyle w:val="isselectedend"/>
        <w:rPr>
          <w:lang w:val="ro-RO"/>
        </w:rPr>
      </w:pPr>
      <w:r w:rsidRPr="007873B4">
        <w:rPr>
          <w:lang w:val="ro-RO"/>
        </w:rPr>
        <w:t>Aici se găsește, în opinia mea, întrebarea mult mai puternică pe care trebuie să o pună studiul.</w:t>
      </w:r>
    </w:p>
    <w:p w14:paraId="52E8ADBA" w14:textId="77777777" w:rsidR="00B81F1C" w:rsidRPr="007873B4" w:rsidRDefault="00B81F1C" w:rsidP="00B81F1C">
      <w:pPr>
        <w:pStyle w:val="isselectedend"/>
        <w:rPr>
          <w:lang w:val="ro-RO"/>
        </w:rPr>
      </w:pPr>
      <w:r w:rsidRPr="007873B4">
        <w:rPr>
          <w:lang w:val="ro-RO"/>
        </w:rPr>
        <w:t>Nu dacă Agenda 2030 a fost „impusă lumii”, pentru că documentele nu susțin o asemenea afirmație generală.</w:t>
      </w:r>
    </w:p>
    <w:p w14:paraId="435DAA76" w14:textId="77777777" w:rsidR="00B81F1C" w:rsidRPr="007873B4" w:rsidRDefault="00B81F1C" w:rsidP="00B81F1C">
      <w:pPr>
        <w:pStyle w:val="isselectedend"/>
        <w:rPr>
          <w:lang w:val="ro-RO"/>
        </w:rPr>
      </w:pPr>
      <w:r w:rsidRPr="007873B4">
        <w:rPr>
          <w:lang w:val="ro-RO"/>
        </w:rPr>
        <w:t>Întrebarea este de ce același program universal produce grade atât de diferite de constrângere asupra politicii naționale.</w:t>
      </w:r>
    </w:p>
    <w:p w14:paraId="7B614E4D" w14:textId="77777777" w:rsidR="00B81F1C" w:rsidRPr="007873B4" w:rsidRDefault="00B81F1C" w:rsidP="00B81F1C">
      <w:pPr>
        <w:pStyle w:val="isselectedend"/>
        <w:rPr>
          <w:lang w:val="ro-RO"/>
        </w:rPr>
      </w:pPr>
      <w:r w:rsidRPr="007873B4">
        <w:rPr>
          <w:lang w:val="ro-RO"/>
        </w:rPr>
        <w:t>China participă la Agenda 2030, dar afirmă că Beijingul decide calea chinezească de dezvoltare.</w:t>
      </w:r>
    </w:p>
    <w:p w14:paraId="5F05CD37" w14:textId="77777777" w:rsidR="00B81F1C" w:rsidRPr="007873B4" w:rsidRDefault="00B81F1C" w:rsidP="00B81F1C">
      <w:pPr>
        <w:pStyle w:val="isselectedend"/>
        <w:rPr>
          <w:lang w:val="ro-RO"/>
        </w:rPr>
      </w:pPr>
      <w:r w:rsidRPr="007873B4">
        <w:rPr>
          <w:lang w:val="ro-RO"/>
        </w:rPr>
        <w:t>Statele arabe participă, dar păstrează sisteme politice, religioase și familiale fundamental diferite de modelul european.</w:t>
      </w:r>
    </w:p>
    <w:p w14:paraId="7C9EB0E3" w14:textId="77777777" w:rsidR="00B81F1C" w:rsidRPr="007873B4" w:rsidRDefault="00B81F1C" w:rsidP="00B81F1C">
      <w:pPr>
        <w:pStyle w:val="isselectedend"/>
        <w:rPr>
          <w:lang w:val="ro-RO"/>
        </w:rPr>
      </w:pPr>
      <w:r w:rsidRPr="007873B4">
        <w:rPr>
          <w:lang w:val="ro-RO"/>
        </w:rPr>
        <w:t>Statele Unite participă la consens, dar precizează că acesta nu creează noi obligații juridice internaționale.</w:t>
      </w:r>
    </w:p>
    <w:p w14:paraId="6EF4E29B" w14:textId="77777777" w:rsidR="00B81F1C" w:rsidRPr="007873B4" w:rsidRDefault="00B81F1C" w:rsidP="00B81F1C">
      <w:pPr>
        <w:pStyle w:val="isselectedend"/>
        <w:rPr>
          <w:lang w:val="ro-RO"/>
        </w:rPr>
      </w:pPr>
      <w:r w:rsidRPr="007873B4">
        <w:rPr>
          <w:lang w:val="ro-RO"/>
        </w:rPr>
        <w:t>Africa acceptă Agenda, dar revendică explicit protejarea valorilor sale culturale și religioase.</w:t>
      </w:r>
    </w:p>
    <w:p w14:paraId="43A6551C" w14:textId="77777777" w:rsidR="00B81F1C" w:rsidRPr="007873B4" w:rsidRDefault="00B81F1C" w:rsidP="00B81F1C">
      <w:pPr>
        <w:pStyle w:val="isselectedend"/>
        <w:rPr>
          <w:lang w:val="ro-RO"/>
        </w:rPr>
      </w:pPr>
      <w:r w:rsidRPr="007873B4">
        <w:rPr>
          <w:lang w:val="ro-RO"/>
        </w:rPr>
        <w:t>În Uniunea Europeană, în schimb, statul membru se află într-un sistem supranațional capabil să transforme unele dintre aceleași obiective în norme și angajamente juridice și financiare.</w:t>
      </w:r>
    </w:p>
    <w:p w14:paraId="5F1BF64D" w14:textId="77777777" w:rsidR="00B81F1C" w:rsidRPr="007873B4" w:rsidRDefault="00B81F1C" w:rsidP="00B81F1C">
      <w:pPr>
        <w:pStyle w:val="isselectedend"/>
        <w:rPr>
          <w:lang w:val="ro-RO"/>
        </w:rPr>
      </w:pPr>
      <w:r w:rsidRPr="007873B4">
        <w:rPr>
          <w:lang w:val="ro-RO"/>
        </w:rPr>
        <w:t>Această diferență mută centrul cercetării noastre.</w:t>
      </w:r>
    </w:p>
    <w:p w14:paraId="4EC4CDBA" w14:textId="77777777" w:rsidR="00B81F1C" w:rsidRPr="007873B4" w:rsidRDefault="00B81F1C" w:rsidP="00B81F1C">
      <w:pPr>
        <w:pStyle w:val="isselectedend"/>
        <w:rPr>
          <w:lang w:val="ro-RO"/>
        </w:rPr>
      </w:pPr>
      <w:r w:rsidRPr="007873B4">
        <w:rPr>
          <w:lang w:val="ro-RO"/>
        </w:rPr>
        <w:t>Problema nu mai este numai Agenda 2030.</w:t>
      </w:r>
    </w:p>
    <w:p w14:paraId="6F1525AB" w14:textId="77777777" w:rsidR="00B81F1C" w:rsidRPr="007873B4" w:rsidRDefault="00B81F1C" w:rsidP="00B81F1C">
      <w:pPr>
        <w:pStyle w:val="isselectedend"/>
        <w:rPr>
          <w:lang w:val="ro-RO"/>
        </w:rPr>
      </w:pPr>
      <w:r w:rsidRPr="007873B4">
        <w:rPr>
          <w:lang w:val="ro-RO"/>
        </w:rPr>
        <w:lastRenderedPageBreak/>
        <w:t>Problema devine mecanismul prin care Agenda este filtrată și transformată în fiecare sistem.</w:t>
      </w:r>
    </w:p>
    <w:p w14:paraId="19530DCE" w14:textId="77777777" w:rsidR="00B81F1C" w:rsidRPr="007873B4" w:rsidRDefault="00B81F1C" w:rsidP="00B81F1C">
      <w:pPr>
        <w:pStyle w:val="isselectedend"/>
        <w:rPr>
          <w:lang w:val="ro-RO"/>
        </w:rPr>
      </w:pPr>
      <w:r w:rsidRPr="007873B4">
        <w:rPr>
          <w:lang w:val="ro-RO"/>
        </w:rPr>
        <w:t>Putem reprezenta lumea, din această perspectivă, prin mai multe modele.</w:t>
      </w:r>
    </w:p>
    <w:p w14:paraId="224554E8" w14:textId="77777777" w:rsidR="00B81F1C" w:rsidRPr="007873B4" w:rsidRDefault="00B81F1C" w:rsidP="00B81F1C">
      <w:pPr>
        <w:pStyle w:val="isselectedend"/>
        <w:rPr>
          <w:lang w:val="ro-RO"/>
        </w:rPr>
      </w:pPr>
      <w:r w:rsidRPr="007873B4">
        <w:rPr>
          <w:lang w:val="ro-RO"/>
        </w:rPr>
        <w:t>Modelul chinez este obiectiv global, adaptare națională, planificare națională, execuție națională.</w:t>
      </w:r>
    </w:p>
    <w:p w14:paraId="58D6FD2E" w14:textId="77777777" w:rsidR="00B81F1C" w:rsidRPr="007873B4" w:rsidRDefault="00B81F1C" w:rsidP="00B81F1C">
      <w:pPr>
        <w:pStyle w:val="isselectedend"/>
        <w:rPr>
          <w:lang w:val="ro-RO"/>
        </w:rPr>
      </w:pPr>
      <w:r w:rsidRPr="007873B4">
        <w:rPr>
          <w:lang w:val="ro-RO"/>
        </w:rPr>
        <w:t>Modelul arab este obiectiv global, filtrare prin suveranitatea statului, religie și tradiție, strategie națională, execuție națională.</w:t>
      </w:r>
    </w:p>
    <w:p w14:paraId="4ABBB0B1" w14:textId="77777777" w:rsidR="00B81F1C" w:rsidRPr="007873B4" w:rsidRDefault="00B81F1C" w:rsidP="00B81F1C">
      <w:pPr>
        <w:pStyle w:val="isselectedend"/>
        <w:rPr>
          <w:lang w:val="ro-RO"/>
        </w:rPr>
      </w:pPr>
      <w:r w:rsidRPr="007873B4">
        <w:rPr>
          <w:lang w:val="ro-RO"/>
        </w:rPr>
        <w:t>Modelul african este obiectiv global, diferențiere după nivelul de dezvoltare, valori culturale și religioase, asistență internațională, implementare națională.</w:t>
      </w:r>
    </w:p>
    <w:p w14:paraId="1D764E1F" w14:textId="77777777" w:rsidR="00B81F1C" w:rsidRPr="007873B4" w:rsidRDefault="00B81F1C" w:rsidP="00B81F1C">
      <w:pPr>
        <w:pStyle w:val="isselectedend"/>
        <w:rPr>
          <w:lang w:val="ro-RO"/>
        </w:rPr>
      </w:pPr>
      <w:r w:rsidRPr="007873B4">
        <w:rPr>
          <w:lang w:val="ro-RO"/>
        </w:rPr>
        <w:t>Modelul american este obiectiv global, acceptare politică, dar fără transformarea automată în obligație internațională internă.</w:t>
      </w:r>
    </w:p>
    <w:p w14:paraId="5E9FAA3D" w14:textId="77777777" w:rsidR="00B81F1C" w:rsidRPr="007873B4" w:rsidRDefault="00B81F1C" w:rsidP="00B81F1C">
      <w:pPr>
        <w:pStyle w:val="isselectedend"/>
        <w:rPr>
          <w:lang w:val="ro-RO"/>
        </w:rPr>
      </w:pPr>
      <w:r w:rsidRPr="007873B4">
        <w:rPr>
          <w:lang w:val="ro-RO"/>
        </w:rPr>
        <w:t>Modelul european este diferit, obiectiv global, preluare supranațională, strategie europeană, legislație și finanțare europeană, obligație sau condiționalitate pentru statul membru, legislație națională, cetățean.</w:t>
      </w:r>
    </w:p>
    <w:p w14:paraId="2E52E218" w14:textId="77777777" w:rsidR="00B81F1C" w:rsidRPr="007873B4" w:rsidRDefault="00B81F1C" w:rsidP="00B81F1C">
      <w:pPr>
        <w:pStyle w:val="isselectedend"/>
        <w:rPr>
          <w:lang w:val="ro-RO"/>
        </w:rPr>
      </w:pPr>
      <w:r w:rsidRPr="007873B4">
        <w:rPr>
          <w:lang w:val="ro-RO"/>
        </w:rPr>
        <w:t>Acesta este punctul în care problema suveranității României devine mult mai interesantă.</w:t>
      </w:r>
    </w:p>
    <w:p w14:paraId="3CB876D4" w14:textId="77777777" w:rsidR="00B81F1C" w:rsidRPr="007873B4" w:rsidRDefault="00B81F1C" w:rsidP="00B81F1C">
      <w:pPr>
        <w:pStyle w:val="isselectedend"/>
        <w:rPr>
          <w:lang w:val="ro-RO"/>
        </w:rPr>
      </w:pPr>
      <w:r w:rsidRPr="007873B4">
        <w:rPr>
          <w:lang w:val="ro-RO"/>
        </w:rPr>
        <w:t>România nu se află în raport direct numai cu ONU. Între România și sistemul global există Uniunea Europeană.</w:t>
      </w:r>
    </w:p>
    <w:p w14:paraId="0BB38121" w14:textId="77777777" w:rsidR="00B81F1C" w:rsidRPr="007873B4" w:rsidRDefault="00B81F1C" w:rsidP="00B81F1C">
      <w:pPr>
        <w:pStyle w:val="isselectedend"/>
        <w:rPr>
          <w:lang w:val="ro-RO"/>
        </w:rPr>
      </w:pPr>
      <w:r w:rsidRPr="007873B4">
        <w:rPr>
          <w:lang w:val="ro-RO"/>
        </w:rPr>
        <w:t>De aceea aceeași Agendă poate avea asupra unui cetățean român un traseu instituțional mult mai lung și mai constrângător decât asupra unui cetățean dintr-un stat care păstrează integral nivelul național de filtrare.</w:t>
      </w:r>
    </w:p>
    <w:p w14:paraId="006D87DD" w14:textId="77777777" w:rsidR="00B81F1C" w:rsidRPr="007873B4" w:rsidRDefault="00B81F1C" w:rsidP="00B81F1C">
      <w:pPr>
        <w:pStyle w:val="isselectedend"/>
        <w:rPr>
          <w:lang w:val="ro-RO"/>
        </w:rPr>
      </w:pPr>
      <w:r w:rsidRPr="007873B4">
        <w:rPr>
          <w:lang w:val="ro-RO"/>
        </w:rPr>
        <w:t>Trebuie introdusă însă și problema presiunii.</w:t>
      </w:r>
    </w:p>
    <w:p w14:paraId="0501D798" w14:textId="77777777" w:rsidR="00B81F1C" w:rsidRPr="007873B4" w:rsidRDefault="00B81F1C" w:rsidP="00B81F1C">
      <w:pPr>
        <w:pStyle w:val="isselectedend"/>
        <w:rPr>
          <w:lang w:val="ro-RO"/>
        </w:rPr>
      </w:pPr>
      <w:r w:rsidRPr="007873B4">
        <w:rPr>
          <w:lang w:val="ro-RO"/>
        </w:rPr>
        <w:t>Nu am identificat până acum dovada că un grup de state ar fi refuzat Agenda 2030 și ar fi fost apoi constrâns juridic să o accepte. Am identificat însă ceva diferit și documentabil, negocieri dure, rezerve culturale și religioase, acuzații de impunere a unor criterii, rezistență față de universalizarea anumitor valori și acceptarea finală a unui compromis construit tocmai în jurul suveranității și adaptării naționale.</w:t>
      </w:r>
    </w:p>
    <w:p w14:paraId="32B89F70" w14:textId="77777777" w:rsidR="00B81F1C" w:rsidRPr="007873B4" w:rsidRDefault="00B81F1C" w:rsidP="00B81F1C">
      <w:pPr>
        <w:pStyle w:val="isselectedend"/>
        <w:rPr>
          <w:lang w:val="ro-RO"/>
        </w:rPr>
      </w:pPr>
      <w:r w:rsidRPr="007873B4">
        <w:rPr>
          <w:lang w:val="ro-RO"/>
        </w:rPr>
        <w:t>Această diferență este importantă.</w:t>
      </w:r>
    </w:p>
    <w:p w14:paraId="6FC95A05" w14:textId="77777777" w:rsidR="00B81F1C" w:rsidRPr="007873B4" w:rsidRDefault="00B81F1C" w:rsidP="00B81F1C">
      <w:pPr>
        <w:pStyle w:val="isselectedend"/>
        <w:rPr>
          <w:lang w:val="ro-RO"/>
        </w:rPr>
      </w:pPr>
      <w:r w:rsidRPr="007873B4">
        <w:rPr>
          <w:lang w:val="ro-RO"/>
        </w:rPr>
        <w:t>Constrângerea contemporană nu trebuie căutată numai în momentul adoptării Agendei.</w:t>
      </w:r>
    </w:p>
    <w:p w14:paraId="1A8F5390" w14:textId="77777777" w:rsidR="00B81F1C" w:rsidRPr="007873B4" w:rsidRDefault="00B81F1C" w:rsidP="00B81F1C">
      <w:pPr>
        <w:pStyle w:val="isselectedend"/>
        <w:rPr>
          <w:lang w:val="ro-RO"/>
        </w:rPr>
      </w:pPr>
      <w:r w:rsidRPr="007873B4">
        <w:rPr>
          <w:lang w:val="ro-RO"/>
        </w:rPr>
        <w:t>Ea poate apărea ulterior, atunci când obiectivele generale sunt conectate cu finanțarea, comerțul, accesul la piețe, standardele tehnologice, datoria, investițiile, evaluările instituțiilor financiare sau apartenența la o structură supranațională.</w:t>
      </w:r>
    </w:p>
    <w:p w14:paraId="0785802D" w14:textId="77777777" w:rsidR="00B81F1C" w:rsidRPr="007873B4" w:rsidRDefault="00B81F1C" w:rsidP="00B81F1C">
      <w:pPr>
        <w:pStyle w:val="isselectedend"/>
        <w:rPr>
          <w:lang w:val="ro-RO"/>
        </w:rPr>
      </w:pPr>
      <w:r w:rsidRPr="007873B4">
        <w:rPr>
          <w:lang w:val="ro-RO"/>
        </w:rPr>
        <w:t>De aceea trebuie să separăm trei niveluri.</w:t>
      </w:r>
    </w:p>
    <w:p w14:paraId="2792EF0E" w14:textId="77777777" w:rsidR="00B81F1C" w:rsidRPr="007873B4" w:rsidRDefault="00B81F1C" w:rsidP="00B81F1C">
      <w:pPr>
        <w:pStyle w:val="isselectedend"/>
        <w:rPr>
          <w:lang w:val="ro-RO"/>
        </w:rPr>
      </w:pPr>
      <w:r w:rsidRPr="007873B4">
        <w:rPr>
          <w:lang w:val="ro-RO"/>
        </w:rPr>
        <w:lastRenderedPageBreak/>
        <w:t>Primul este consensul politic global din 2015.</w:t>
      </w:r>
    </w:p>
    <w:p w14:paraId="4AE9A21C" w14:textId="77777777" w:rsidR="00B81F1C" w:rsidRPr="007873B4" w:rsidRDefault="00B81F1C" w:rsidP="00B81F1C">
      <w:pPr>
        <w:pStyle w:val="isselectedend"/>
        <w:rPr>
          <w:lang w:val="ro-RO"/>
        </w:rPr>
      </w:pPr>
      <w:r w:rsidRPr="007873B4">
        <w:rPr>
          <w:lang w:val="ro-RO"/>
        </w:rPr>
        <w:t>Al doilea este interpretarea regională și națională a obiectivelor.</w:t>
      </w:r>
    </w:p>
    <w:p w14:paraId="7FFCE495" w14:textId="77777777" w:rsidR="00B81F1C" w:rsidRPr="007873B4" w:rsidRDefault="00B81F1C" w:rsidP="00B81F1C">
      <w:pPr>
        <w:pStyle w:val="isselectedend"/>
        <w:rPr>
          <w:lang w:val="ro-RO"/>
        </w:rPr>
      </w:pPr>
      <w:r w:rsidRPr="007873B4">
        <w:rPr>
          <w:lang w:val="ro-RO"/>
        </w:rPr>
        <w:t>Al treilea este mecanismul prin care anumite obiective dobândesc ulterior forță economică, financiară sau juridică.</w:t>
      </w:r>
    </w:p>
    <w:p w14:paraId="23DA3539" w14:textId="77777777" w:rsidR="00B81F1C" w:rsidRPr="007873B4" w:rsidRDefault="00B81F1C" w:rsidP="00B81F1C">
      <w:pPr>
        <w:pStyle w:val="isselectedend"/>
        <w:rPr>
          <w:lang w:val="ro-RO"/>
        </w:rPr>
      </w:pPr>
      <w:r w:rsidRPr="007873B4">
        <w:rPr>
          <w:lang w:val="ro-RO"/>
        </w:rPr>
        <w:t>Tocmai al treilea nivel este decisiv pentru România.</w:t>
      </w:r>
    </w:p>
    <w:p w14:paraId="05388063" w14:textId="77777777" w:rsidR="00B81F1C" w:rsidRPr="007873B4" w:rsidRDefault="00B81F1C" w:rsidP="00B81F1C">
      <w:pPr>
        <w:pStyle w:val="isselectedend"/>
        <w:rPr>
          <w:lang w:val="ro-RO"/>
        </w:rPr>
      </w:pPr>
      <w:r w:rsidRPr="007873B4">
        <w:rPr>
          <w:lang w:val="ro-RO"/>
        </w:rPr>
        <w:t>Agenda 2030 singură nu explică reducerea spațiului național de decizie. Pentru aceasta trebuie introduse verigile următoare, Uniunea Europeană, condiționalitatea financiară, PNRR, Banca Mondială, procedura de deficit excesiv și, în final, guvernul național care transformă obligația de rezultat într-o taxă concretă.</w:t>
      </w:r>
    </w:p>
    <w:p w14:paraId="63A1FDAD" w14:textId="77777777" w:rsidR="00B81F1C" w:rsidRPr="007873B4" w:rsidRDefault="00B81F1C" w:rsidP="00B81F1C">
      <w:pPr>
        <w:pStyle w:val="isselectedend"/>
        <w:rPr>
          <w:lang w:val="ro-RO"/>
        </w:rPr>
      </w:pPr>
      <w:r w:rsidRPr="007873B4">
        <w:rPr>
          <w:lang w:val="ro-RO"/>
        </w:rPr>
        <w:t>Privită comparativ, apare astfel o concluzie paradoxală care merită verificată pe întreg parcursul studiului.</w:t>
      </w:r>
    </w:p>
    <w:p w14:paraId="588DBA07" w14:textId="77777777" w:rsidR="00B81F1C" w:rsidRPr="007873B4" w:rsidRDefault="00B81F1C" w:rsidP="00B81F1C">
      <w:pPr>
        <w:pStyle w:val="isselectedend"/>
        <w:rPr>
          <w:lang w:val="ro-RO"/>
        </w:rPr>
      </w:pPr>
      <w:r w:rsidRPr="007873B4">
        <w:rPr>
          <w:lang w:val="ro-RO"/>
        </w:rPr>
        <w:t>Universalitatea Agendei nu a produs universalitatea sistemelor. China a rămas China, monarhiile arabe au rămas monarhii, statele islamice și-au păstrat particularitățile religioase, Statele Unite și-au păstrat arhitectura constituțională, iar statele africane au revendicat explicit propriile valori culturale și religioase.</w:t>
      </w:r>
    </w:p>
    <w:p w14:paraId="502672C3" w14:textId="77777777" w:rsidR="00B81F1C" w:rsidRPr="007873B4" w:rsidRDefault="00B81F1C" w:rsidP="00B81F1C">
      <w:pPr>
        <w:pStyle w:val="isselectedend"/>
        <w:rPr>
          <w:lang w:val="ro-RO"/>
        </w:rPr>
      </w:pPr>
      <w:r w:rsidRPr="007873B4">
        <w:rPr>
          <w:lang w:val="ro-RO"/>
        </w:rPr>
        <w:t>Întrebarea care rămâne pentru România este de ce, în interiorul construcției europene, adaptarea națională pare să dispună de un spațiu diferit și în anumite domenii mai restrâns decât cel revendicat de marile state și civilizații din afara Uniunii.</w:t>
      </w:r>
    </w:p>
    <w:p w14:paraId="6E0D82F8" w14:textId="77777777" w:rsidR="00B81F1C" w:rsidRPr="007873B4" w:rsidRDefault="00B81F1C" w:rsidP="00B81F1C">
      <w:pPr>
        <w:pStyle w:val="NormalWeb"/>
        <w:rPr>
          <w:lang w:val="ro-RO"/>
        </w:rPr>
      </w:pPr>
      <w:r w:rsidRPr="007873B4">
        <w:rPr>
          <w:lang w:val="ro-RO"/>
        </w:rPr>
        <w:t>Aceasta este întrebarea care face legătura dintre Agenda 2030 și problema suveranității și care justifică trecerea noastră, în secțiunea următoare, de la ONU la Uniunea Europeană.</w:t>
      </w:r>
    </w:p>
    <w:p w14:paraId="668380A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Primul nivel este reprezentat de organizațiile care formulează obiective globale. Agenda 2030 oferă o viziune asupra transformării economice și sociale, dar ONU nu stabilește prin aceasta cota de TVA a României, plafonul microîntreprinderilor sau valoarea impozabilă a unei proprietăți din București. Influența sa operează la nivelul obiectivelor și al cadrului conceptual.</w:t>
      </w:r>
    </w:p>
    <w:p w14:paraId="5DEAA8D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 doilea nivel este reprezentat de instituțiile care produc expertiză și modele de politică economică. În cazul României, Banca Mondială dobândește o importanță particulară. Nu apare numai ca observator al reformei fiscale. Ministerul Finanțelor a contractat servicii de consultanță rambursabile pentru proiectul privind îmbunătățirea cadrului fiscal al României în contextul PNRR. Contractul din 30 iunie 2022 include analiza impozitului pe profit, impozitului pe venit, contribuțiilor sociale, impozitării proprietății, veniturilor din capital, regimului microîntreprinderilor și fiscalității verzi.</w:t>
      </w:r>
    </w:p>
    <w:p w14:paraId="0E5CE0E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Rolul Băncii Mondiale este deosebit de important tocmai pentru că se situează între obiectiv și decizia politică. Ea analizează sistemul, compară modele, identifică distorsiuni și formulează recomandări. În domeniul proprietății, mandatul ajunge până la sprijinirea construirii unui sistem </w:t>
      </w:r>
      <w:r w:rsidRPr="007873B4">
        <w:rPr>
          <w:rFonts w:ascii="Times New Roman" w:eastAsia="Times New Roman" w:hAnsi="Times New Roman" w:cs="Times New Roman"/>
          <w:kern w:val="0"/>
          <w:lang w:val="ro-RO"/>
          <w14:ligatures w14:val="none"/>
        </w:rPr>
        <w:lastRenderedPageBreak/>
        <w:t>automatizat de evaluare în masă pe baza valorilor de piață, a registrelor de tranzacții și a interoperabilității bazelor de date.</w:t>
      </w:r>
    </w:p>
    <w:p w14:paraId="1C2BF33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poziție permite cercetarea ipotezei potrivit căreia Banca Mondială reprezintă unul dintre centrele intelectuale ale reformei. Dar documentele analizate până acum nu permit transformarea formulei metaforice „Banca Mondială este creierul” într-o constatare absolută. Unele reforme existau în PNRR înaintea contractului din iunie 2022, iar unele documente ale Băncii Mondiale descriu măsuri după adoptarea lor. Cronologia trebuie, prin urmare, păstrată pentru fiecare măsură. O recomandare anterioară unei decizii poate indica filiație intelectuală. Un raport ulterior demonstrează numai că instituția a analizat sau a susținut măsura.</w:t>
      </w:r>
    </w:p>
    <w:p w14:paraId="5D1EC99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 treilea nivel este Uniunea Europeană. Pentru România, acesta este nivelul instituțional decisiv deoarece UE dispune de mecanisme juridice și financiare pe care Agenda 2030 sau consultanța Băncii Mondiale nu le posedă în aceeași formă. Uniunea poate adopta legislație obligatorie, poate aproba planuri, poate verifica jaloane, poate condiționa plăți și, prin cadrul fiscal european, poate impune unui stat membru obligații privind corectarea deficitului.</w:t>
      </w:r>
    </w:p>
    <w:p w14:paraId="012897A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Trebuie însă diferențiate chiar și aici trei mecanisme. Există legislația europeană propriu-zisă. Există PNRR, care reprezintă un plan negociat și asumat de România, ale cărui jaloane devin ulterior condiții pentru finanțare. Există, distinct, procedura de deficit excesiv și traiectoria fiscală, prin care constrângerea privește tot mai mult rezultatul bugetar.</w:t>
      </w:r>
    </w:p>
    <w:p w14:paraId="0D4F77F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 patrulea nivel este statul român însuși. Acesta nu poate fi prezentat numai ca victimă sau executant pasiv. În 2021 România negociază PNRR. OUG nr. 24/2021 atribuie MIPE mandatul negocierii cu Comisia, Ministerului Finanțelor rolul negocierii la nivelul Consiliului și prim-ministrului coordonarea procedurilor.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Cristian Ghinea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apar astfel în punctul de trecere dintre orientarea europeană și angajamentul național.</w:t>
      </w:r>
    </w:p>
    <w:p w14:paraId="3CB996A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Mai mult, cercetarea noastră a identificat o modificare importantă între proiectul public din aprilie 2021 și planul transmis la 31 mai. Forma inițială vorbea mai general despre digitalizarea ANAF, combaterea neconformării, colectare și revizuirea cadrului fiscal. În forma transmisă apar explicit reducerea regimului microîntreprinderilor și eliminarea graduală a unor facilități fiscale. Cristian Ghinea avea să relateze ulterior că poziția Comisiei fusese mai dură față de excepțiile fiscale și regimul microîntreprinderilor și că soluția finală rezultase din negociere și compromis politic.</w:t>
      </w:r>
    </w:p>
    <w:p w14:paraId="36D5167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Avem, prin urmare, o relație mai complexă decât cea dintre comandant și executant. Comisia solicită o reformă mai profundă.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negociază. Coaliția PNL–USR–UDMR acceptă anumite angajamente. Acestea sunt introduse în PNRR. Consiliul aprobă planul. Angajamentul românesc dobândește caracter de condiționalitate europeană. Guvernele următoare îl găsesc deja ca obligație a statului.</w:t>
      </w:r>
    </w:p>
    <w:p w14:paraId="27CB9F3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 cincilea nivel îl reprezintă executorii politici succesivi.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aparțin unor partide diferite, dar operează succesiv în interiorul aceleiași direcții generale. OG nr. 16/2022, Legea nr. 296/2023, OUG nr. 115/2023, OUG nr. </w:t>
      </w:r>
      <w:r w:rsidRPr="007873B4">
        <w:rPr>
          <w:rFonts w:ascii="Times New Roman" w:eastAsia="Times New Roman" w:hAnsi="Times New Roman" w:cs="Times New Roman"/>
          <w:kern w:val="0"/>
          <w:lang w:val="ro-RO"/>
          <w14:ligatures w14:val="none"/>
        </w:rPr>
        <w:lastRenderedPageBreak/>
        <w:t>156/2024, Legea nr. 141/2025 și actele ulterioare permit urmărirea acestei continuități în legislația fiscală.</w:t>
      </w:r>
    </w:p>
    <w:p w14:paraId="49A7952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continuitate este importantă pentru problema suveranității deoarece arată că schimbarea partidului care deține Ministerul Finanțelor nu produce automat schimbarea direcției. Angajamentul supraviețuiește ministrului. Reforma supraviețuiește coaliției. Condiționalitatea supraviețuiește alegerilor.</w:t>
      </w:r>
    </w:p>
    <w:p w14:paraId="3D11343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La capătul acestei structuri se află Parlamentul și cetățeanul. În modelul constituțional clasic, voința cetățeanului urcă spre Parlament, iar legea coboară spre cetățean. În arhitectura analizată apare concomitent un circuit de sens invers. Obiectivul poate porni de la nivel internațional, poate fi operaționalizat european, negociat de Executiv, transformat într-un angajament multianual și transpus ulterior în dreptul intern.</w:t>
      </w:r>
    </w:p>
    <w:p w14:paraId="580DB77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inversare parțială a circuitului decizional reprezintă adevărata problemă a suveranității pe care studiul trebuie să o urmărească. Nu dispar statul, Parlamentul sau alegerile. Se modifică însă mediul în care acestea pot decide.</w:t>
      </w:r>
    </w:p>
    <w:p w14:paraId="2143352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acest punct apare și problema care va deveni esențială în partea dedicată lui Nicușor Dan. Dacă după construirea unui asemenea sistem schimbarea președintelui, a premierului sau a majorității parlamentare nu trebuie să schimbe „direcția”, iar continuitatea traiectoriei fiscale și relația cu finanțatorii sunt prezentate drept condiții ale guvernării, trebuie cercetat în ce măsură funcția politică a noilor titulari ai puterii mai constă în alegerea direcției și în ce măsură constă în administrarea unei direcții deja angajate.</w:t>
      </w:r>
    </w:p>
    <w:p w14:paraId="2A5A0CF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întrebare nu va fi rezolvată prin presupuneri. Ea va fi urmărită cronologic, de la apariția și dezvoltarea politică a lui Nicușor Dan până la rolul său constituțional din 2025–2026 și la criteriile pe care le formulează pentru desemnarea guvernelor.</w:t>
      </w:r>
    </w:p>
    <w:p w14:paraId="5133A82E" w14:textId="77777777" w:rsidR="001F2C21" w:rsidRPr="007873B4" w:rsidRDefault="001F2C21" w:rsidP="001F2C21">
      <w:pPr>
        <w:numPr>
          <w:ilvl w:val="0"/>
          <w:numId w:val="3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ca mecanism de operaționalizare</w:t>
      </w:r>
    </w:p>
    <w:p w14:paraId="45C7C9B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înțelegerea transformării guvernanței contemporane trebuie făcută o distincție între formularea unui obiectiv la nivel internațional și capacitatea unei instituții de a transforma acel obiectiv într-o regulă aplicabilă. Agenda 2030 oferă cadrul general, dar Uniunea Europeană dispune de instrumentele juridice, administrative și financiare prin care anumite direcții generale pot deveni politici comune, ținte cuantificate, obligații pentru statele membre și, în cele din urmă, reguli aplicabile persoanelor fizice și juridice.</w:t>
      </w:r>
    </w:p>
    <w:p w14:paraId="1C930B5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particularitate diferențiază fundamental Uniunea Europeană de o organizație internațională clasică. România nu participă la UE numai prin cooperare diplomatică. Prin tratatele europene a acceptat exercitarea în comun sau transferul unor competențe, aplicarea directă a unor categorii de norme europene și obligația transpunerii altora. Din acest motiv, între obiectivul internațional și cetățean apare un nivel supranațional capabil să transforme orientarea politică în drept.</w:t>
      </w:r>
    </w:p>
    <w:p w14:paraId="5027AEF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Agenda 2030 este relevantă în acest proces deoarece Uniunea Europeană a integrat obiectivele dezvoltării durabile în politicile sale interne și externe. În cadrul european, dezvoltarea durabilă nu mai rămâne exclusiv o declarație generală privind viitorul societății. Ea se regăsește în politicile climatice, energetice, industriale, digitale, sociale și financiare și este însoțită de indicatori, calendare și mecanisme de monitorizare.</w:t>
      </w:r>
    </w:p>
    <w:p w14:paraId="1D71600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European Green Deal reprezintă unul dintre exemplele cele mai importante. Obiectivul neutralității climatice până în 2050 și reducerea emisiilor până în 2030 sunt legate de modificarea producției energetice, transporturilor, industriei, construcțiilor și consumului. Fit for 55 transformă obiectivul general într-un ansamblu de măsuri sectoriale. În acest mod se produce trecerea de la viziunea asupra societății viitoare la reguli care afectează costurile, investițiile și comportamentul economic.</w:t>
      </w:r>
    </w:p>
    <w:p w14:paraId="217DBBE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 proces asemănător se produce în domeniul digital. Digital Decade 2030 introduce obiective privind infrastructura, competențele digitale, digitalizarea întreprinderilor și serviciile publice digitale. În aparență, digitalizarea reprezintă numai o modernizare tehnologică. Privită instituțional, ea modifică însă profund raportul dintre cetățean și administrație. Identificarea, declararea, facturarea, circulația informației și verificarea obligațiilor devin progresiv integrate în sisteme informatice interoperabile.</w:t>
      </w:r>
    </w:p>
    <w:p w14:paraId="6F9E016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aspect va deveni important în analiza României. RO e-Factura, digitalizarea ANAF, registrele de proprietate, evaluarea automatizată, interconectarea bazelor de date și raportarea electronică nu reprezintă fenomene izolate. Ele apar într-un mediu european în care digitalizarea administrației este un obiectiv strategic. Aceasta nu înseamnă însă că fiecare sistem românesc a fost impus de Uniunea Europeană. Studiul nostru a identificat chiar situația semnificativă a e-Factura, unde România a solicitat autorizarea necesară pentru introducerea obligativității B2B. În acel caz, Bruxelles-</w:t>
      </w:r>
      <w:proofErr w:type="spellStart"/>
      <w:r w:rsidRPr="007873B4">
        <w:rPr>
          <w:rFonts w:ascii="Times New Roman" w:eastAsia="Times New Roman" w:hAnsi="Times New Roman" w:cs="Times New Roman"/>
          <w:kern w:val="0"/>
          <w:lang w:val="ro-RO"/>
          <w14:ligatures w14:val="none"/>
        </w:rPr>
        <w:t>ul</w:t>
      </w:r>
      <w:proofErr w:type="spellEnd"/>
      <w:r w:rsidRPr="007873B4">
        <w:rPr>
          <w:rFonts w:ascii="Times New Roman" w:eastAsia="Times New Roman" w:hAnsi="Times New Roman" w:cs="Times New Roman"/>
          <w:kern w:val="0"/>
          <w:lang w:val="ro-RO"/>
          <w14:ligatures w14:val="none"/>
        </w:rPr>
        <w:t xml:space="preserve"> a autorizat o solicitare românească, nu a impus unilateral măsura.</w:t>
      </w:r>
    </w:p>
    <w:p w14:paraId="1BA7C12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distincție trebuie păstrată pe tot parcursul studiului. Integrarea europeană poate crea cadrul, poate oferi finanțarea și poate stabili obiective comune, dar guvernul național poate utiliza acest cadru pentru a adopta propriile măsuri. A atribui automat Uniunii Europene orice obligație introdusă de București ar ascunde responsabilitatea autorităților române și ar diminua precizia analizei.</w:t>
      </w:r>
    </w:p>
    <w:p w14:paraId="0DA8CF3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Există însă și mecanisme în care legătura dintre finanțare și reformă devine directă. PNRR reprezintă exemplul central. România negociază un program, acesta este aprobat, iar plățile sunt legate de atingerea unor jaloane și ținte. O decizie națională inițială de participare și negociere generează astfel obligații care se extind asupra guvernelor următoare.</w:t>
      </w:r>
    </w:p>
    <w:p w14:paraId="2021CAE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Procedura de deficit excesiv introduce un alt tip de constrângere. În acest caz, nu este vorba în primul rând despre finanțarea unui proiect, ci despre obligația statului de a-și corecta dezechilibrul bugetar. Pe măsură ce obligația este exprimată prin rezultate fiscale cuantificate, libertatea națională se deplasează de la alegerea rezultatului către alegerea instrumentului prin care rezultatul trebuie obținut.</w:t>
      </w:r>
    </w:p>
    <w:p w14:paraId="4B7268B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Din perspectiva suveranității efective, aceasta este o transformare esențială. Statul continuă să legifereze, dar nu mai stabilește întotdeauna în mod autonom întregul perimetru al rezultatului urmărit. El poate alege dacă majorează TVA, impozitează dividendele, reduce facilitățile sau extinde bazele de contribuții, dar această alegere se poate desfășura în interiorul unei obligații de consolidare fiscală deja asumate.</w:t>
      </w:r>
    </w:p>
    <w:p w14:paraId="7F28426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devine astfel pentru România mai mult decât un spațiu de cooperare. Ea reprezintă un nivel permanent al procesului decizional. Aceasta poate produce beneficii, stabilitate, acces la finanțare, standarde comune și protecția unor drepturi. Produce însă simultan o reducere obiectivă a numărului de decizii care pot fi luate exclusiv la nivel național.</w:t>
      </w:r>
    </w:p>
    <w:p w14:paraId="4687F79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democratică nu constă deci în existența cooperării europene, ci în stabilirea limitei până la care transferul și condiționarea deciziei rămân compatibile cu posibilitatea cetățeanului de a schimba politica prin alegeri.</w:t>
      </w:r>
    </w:p>
    <w:p w14:paraId="6931CF57" w14:textId="77777777" w:rsidR="001F2C21" w:rsidRPr="007873B4" w:rsidRDefault="001F2C21" w:rsidP="001F2C21">
      <w:pPr>
        <w:numPr>
          <w:ilvl w:val="0"/>
          <w:numId w:val="3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Europa și Statele Unite. Două modele ale raportului dintre individ și autoritate</w:t>
      </w:r>
    </w:p>
    <w:p w14:paraId="36EC2FF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modelului european devine mai clară prin comparație cu Statele Unite. Ambele aparțin spațiului occidental, ambele sunt democrații constituționale și economii de piață și ambele participă la instituții internaționale. Cu toate acestea, tradiția juridică și politică privind raportul dintre individ și puterea publică este diferită.</w:t>
      </w:r>
    </w:p>
    <w:p w14:paraId="1DFA18F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Modelul european contemporan acordă un rol important reglementării preventive. Statul și instituțiile supranaționale stabilesc standarde comune privind mediul, piața, produsele, concurența, datele, protecția consumatorilor, energia și numeroase alte domenii. În spatele acestei concepții se află ideea că anumite obiective colective nu pot fi obținute numai prin deciziile individuale ale pieței.</w:t>
      </w:r>
    </w:p>
    <w:p w14:paraId="1E9D631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Modelul american pornește istoric de la o suspiciune constituțională mai accentuată față de concentrarea puterii publice. Libertatea individuală, proprietatea, libertatea contractuală, federalismul și separarea puterilor au o poziție particulară în tradiția constituțională americană. Aceasta nu înseamnă existența unui stat american slab. Guvernul federal dispune de puteri fiscale, monetare, militare și de reglementare enorme. Diferența privește mai curând modul în care extinderea puterii administrative este justificată și contestată.</w:t>
      </w:r>
    </w:p>
    <w:p w14:paraId="16EF90F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adaugă modelului european o particularitate suplimentară. Autoritatea de reglementare nu se găsește numai la nivelul statului ales direct de cetățenii acelui stat. O parte a regulilor este construită la nivel supranațional și aplicată într-un spațiu format din mai multe state.</w:t>
      </w:r>
    </w:p>
    <w:p w14:paraId="7F99609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această perspectivă, noțiunea de „prooccidental” este insuficientă pentru descrierea unei politici publice. Statele Unite și Uniunea Europeană aparțin aceluiași spațiu strategic occidental, dar pot avea concepții diferite privind reglementarea, fiscalitatea, clima, protecția datelor, rolul pieței și raportul dintre libertatea individuală și obiectivele colective.</w:t>
      </w:r>
    </w:p>
    <w:p w14:paraId="3A1B93A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distincție devine importantă pentru analiza ulterioară a discursului politic românesc. Atunci când „proeuropean”, „prooccidental” și „progresist” sunt utilizate aproape interschimbabil, se produce o simplificare conceptuală. A fi favorabil apartenenței României la NATO și parteneriatului strategic cu Statele Unite nu presupune automat acceptarea oricărei politici economice, sociale sau de reglementare dezvoltate în Uniunea Europeană. În aceeași măsură, contestarea unei politici fiscale sau climatice europene nu reprezintă prin ea însăși contestarea apartenenței României la Occident.</w:t>
      </w:r>
    </w:p>
    <w:p w14:paraId="4EFBCE1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diferență va deveni importantă în analiza poziției lui Nicușor Dan. Dacă direcția „prooccidentală” este utilizată drept criteriu pentru formarea unei majorități sau desemnarea unui premier, trebuie stabilit ce conține efectiv această noțiune. Apartenența la NATO, relația cu Statele Unite, apartenența la UE, respectarea PNRR, traiectoria fiscală și adoptarea unui anumit model social nu sunt concepte juridic identice.</w:t>
      </w:r>
    </w:p>
    <w:p w14:paraId="2D1F696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Studiul va evita tocmai această confuzie. Altfel, orice dezbatere asupra fiscalității, suveranității sau raportului dintre stat și individ riscă să fie transformată artificial într-o alegere geopolitică între Occident și adversarii săi.</w:t>
      </w:r>
    </w:p>
    <w:p w14:paraId="291B9512" w14:textId="77777777" w:rsidR="001F2C21" w:rsidRPr="007873B4" w:rsidRDefault="001F2C21" w:rsidP="001F2C21">
      <w:pPr>
        <w:numPr>
          <w:ilvl w:val="0"/>
          <w:numId w:val="3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România înaintea PNRR. Integrarea progresivă în noua arhitectură</w:t>
      </w:r>
    </w:p>
    <w:p w14:paraId="2232A8A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nu reprezintă începutul integrării României într-un sistem supranațional de coordonare. El reprezintă însă o etapă în care legătura dintre finanțare, reformă, termen și rezultat devine deosebit de vizibilă.</w:t>
      </w:r>
    </w:p>
    <w:p w14:paraId="0C7D1C1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România a transferat sau a acceptat exercitarea comună a unor competențe prin aderarea la Uniunea Europeană. Ulterior, politicile economice și bugetare au fost integrate progresiv în mecanisme europene de coordonare. Semestrul european, regulile fiscale, recomandările de țară, politicile privind piața internă, concurența, energia și mediul au creat un cadru în care decizia economică națională nu mai poate fi analizată exclusiv prin raportare la instituțiile interne.</w:t>
      </w:r>
    </w:p>
    <w:p w14:paraId="36AA3BEC"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După 2015, Agenda 2030 adaugă un nivel suplimentar de coordonare a obiectivelor. România își dezvoltă propriile strategii privind dezvoltarea durabilă, iar obiectivele globale sunt integrate în politicile publice naționale.</w:t>
      </w:r>
    </w:p>
    <w:p w14:paraId="3BC9A9B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este importantă pentru că arată caracterul gradual al procesului. Nu există un moment unic în care România își pierde sau își transferă întreaga libertate de decizie. Există o succesiune de tratate, politici, strategii, programe și angajamente, fiecare având propria justificare și propria bază juridică.</w:t>
      </w:r>
    </w:p>
    <w:p w14:paraId="4280E1A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cetățeanului, efectul cumulat poate fi însă diferit de imaginea oferită de fiecare măsură analizată separat. O obligație climatică, una fiscală, una privind digitalizarea și una privind finanțarea pot proveni din mecanisme juridice distincte, dar pot acționa simultan asupra aceleiași persoane sau întreprinderi.</w:t>
      </w:r>
    </w:p>
    <w:p w14:paraId="655D3CB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Înainte de PNRR exista deja, așadar, infrastructura politică și administrativă necesară pentru integrarea obiectivelor europene în politica națională. PNRR nu creează această relație. El îi adaugă însă o componentă financiară extrem de puternică, plata condiționată de reformă.</w:t>
      </w:r>
    </w:p>
    <w:p w14:paraId="44EE7CF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lucru va explica ulterior de ce jaloanele fiscale asumate în 2021 pot continua să producă efecte după schimbarea guvernului care le-a negociat.</w:t>
      </w:r>
    </w:p>
    <w:p w14:paraId="0C3DC73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aceeași perioadă trebuie urmărită și transformarea limbajului politic românesc. Apartenența la UE și NATO, inițial obiective strategice de politică externă și securitate, devine treptat și un criteriu de clasificare a actorilor politici interni. Termenii „proeuropean” și „prooccidental” nu mai descriu numai opțiunea geopolitică, ci sunt utilizați pentru delimitarea unor formule de guvernare considerate acceptabile.</w:t>
      </w:r>
    </w:p>
    <w:p w14:paraId="3910192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este esențială pentru ceea ce se va întâmpla în 2025–2026. Pentru a înțelege însă rolul lui Nicușor Dan în acest proces, trebuie urmărită ascensiunea sa cu mult înaintea alegerilor prezidențiale.</w:t>
      </w:r>
    </w:p>
    <w:p w14:paraId="39A24317" w14:textId="77777777" w:rsidR="001F2C21" w:rsidRPr="007873B4" w:rsidRDefault="001F2C21" w:rsidP="001F2C21">
      <w:pPr>
        <w:numPr>
          <w:ilvl w:val="0"/>
          <w:numId w:val="3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Apariția lui Nicușor Dan. De la formarea occidentală la activism civic</w:t>
      </w:r>
    </w:p>
    <w:p w14:paraId="20F4933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rolului lui Nicușor Dan nu poate începe cu alegerile prezidențiale din 2025. O asemenea abordare ar crea impresia unei apariții politice meteorice și ar elimina tocmai perioada în care se formează profilul său public și infrastructura civică din care va apărea ulterior un partid parlamentar.</w:t>
      </w:r>
    </w:p>
    <w:p w14:paraId="61C14261"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Biografia sa publică indică un traseu neobișnuit pentru politica românească postcomunistă. După performanțele internaționale la matematică și studiile universitare, urmează o perioadă îndelungată de formare în Franța. Între 1992 și 1998 studiază la </w:t>
      </w:r>
      <w:proofErr w:type="spellStart"/>
      <w:r w:rsidRPr="007873B4">
        <w:rPr>
          <w:rFonts w:ascii="Times New Roman" w:eastAsia="Times New Roman" w:hAnsi="Times New Roman" w:cs="Times New Roman"/>
          <w:kern w:val="0"/>
          <w:lang w:val="ro-RO"/>
          <w14:ligatures w14:val="none"/>
        </w:rPr>
        <w:t>École</w:t>
      </w:r>
      <w:proofErr w:type="spellEnd"/>
      <w:r w:rsidRPr="007873B4">
        <w:rPr>
          <w:rFonts w:ascii="Times New Roman" w:eastAsia="Times New Roman" w:hAnsi="Times New Roman" w:cs="Times New Roman"/>
          <w:kern w:val="0"/>
          <w:lang w:val="ro-RO"/>
          <w14:ligatures w14:val="none"/>
        </w:rPr>
        <w:t xml:space="preserve"> Normale </w:t>
      </w:r>
      <w:proofErr w:type="spellStart"/>
      <w:r w:rsidRPr="007873B4">
        <w:rPr>
          <w:rFonts w:ascii="Times New Roman" w:eastAsia="Times New Roman" w:hAnsi="Times New Roman" w:cs="Times New Roman"/>
          <w:kern w:val="0"/>
          <w:lang w:val="ro-RO"/>
          <w14:ligatures w14:val="none"/>
        </w:rPr>
        <w:t>Supérieure</w:t>
      </w:r>
      <w:proofErr w:type="spellEnd"/>
      <w:r w:rsidRPr="007873B4">
        <w:rPr>
          <w:rFonts w:ascii="Times New Roman" w:eastAsia="Times New Roman" w:hAnsi="Times New Roman" w:cs="Times New Roman"/>
          <w:kern w:val="0"/>
          <w:lang w:val="ro-RO"/>
          <w14:ligatures w14:val="none"/>
        </w:rPr>
        <w:t xml:space="preserve"> și la universitățile Paris 11 și Paris 13, obținând doctoratul în matematică. Revine în România în 1998.</w:t>
      </w:r>
    </w:p>
    <w:p w14:paraId="4E1C7E6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etapă este relevantă pentru studiul nostru nu pentru că studiile occidentale ar demonstra o afiliere politică. O asemenea concluzie ar fi nejustificată. Relevanța constă în formarea intelectuală și instituțională într-un mediu occidental, urmată de revenirea în România și implicarea progresivă în instituții academice și civice.</w:t>
      </w:r>
    </w:p>
    <w:p w14:paraId="362AC06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Între 2000 și 2006 este implicat în Școala Normală Superioară București. Ulterior participă la Comisia Prezidențială pentru analiza și elaborarea politicilor din domeniile educației și cercetării. În 2008 fondează Asociația Salvați Bucureștiul.</w:t>
      </w:r>
    </w:p>
    <w:p w14:paraId="212376E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acest moment începe formarea profilului său public propriu-zis. Activitatea inițială nu este construită în jurul unui partid politic tradițional, ci în jurul societății civile și al contestării administrative și judiciare a unor decizii privind dezvoltarea urbană a Bucureștiului.</w:t>
      </w:r>
    </w:p>
    <w:p w14:paraId="68961738"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origine este importantă. În politica tradițională, ascensiunea se realizează de regulă prin organizația de partid, funcții locale, Parlament și conducerea partidului. În cazul Nicușor Dan traseul este diferit. Societatea civilă </w:t>
      </w:r>
      <w:proofErr w:type="spellStart"/>
      <w:r w:rsidRPr="007873B4">
        <w:rPr>
          <w:rFonts w:ascii="Times New Roman" w:eastAsia="Times New Roman" w:hAnsi="Times New Roman" w:cs="Times New Roman"/>
          <w:kern w:val="0"/>
          <w:lang w:val="ro-RO"/>
          <w14:ligatures w14:val="none"/>
        </w:rPr>
        <w:t>precede</w:t>
      </w:r>
      <w:proofErr w:type="spellEnd"/>
      <w:r w:rsidRPr="007873B4">
        <w:rPr>
          <w:rFonts w:ascii="Times New Roman" w:eastAsia="Times New Roman" w:hAnsi="Times New Roman" w:cs="Times New Roman"/>
          <w:kern w:val="0"/>
          <w:lang w:val="ro-RO"/>
          <w14:ligatures w14:val="none"/>
        </w:rPr>
        <w:t xml:space="preserve"> partidul. Activismul </w:t>
      </w:r>
      <w:proofErr w:type="spellStart"/>
      <w:r w:rsidRPr="007873B4">
        <w:rPr>
          <w:rFonts w:ascii="Times New Roman" w:eastAsia="Times New Roman" w:hAnsi="Times New Roman" w:cs="Times New Roman"/>
          <w:kern w:val="0"/>
          <w:lang w:val="ro-RO"/>
          <w14:ligatures w14:val="none"/>
        </w:rPr>
        <w:t>precede</w:t>
      </w:r>
      <w:proofErr w:type="spellEnd"/>
      <w:r w:rsidRPr="007873B4">
        <w:rPr>
          <w:rFonts w:ascii="Times New Roman" w:eastAsia="Times New Roman" w:hAnsi="Times New Roman" w:cs="Times New Roman"/>
          <w:kern w:val="0"/>
          <w:lang w:val="ro-RO"/>
          <w14:ligatures w14:val="none"/>
        </w:rPr>
        <w:t xml:space="preserve"> candidatura. </w:t>
      </w:r>
      <w:r w:rsidRPr="007873B4">
        <w:rPr>
          <w:rFonts w:ascii="Times New Roman" w:eastAsia="Times New Roman" w:hAnsi="Times New Roman" w:cs="Times New Roman"/>
          <w:kern w:val="0"/>
          <w:lang w:val="ro-RO"/>
          <w14:ligatures w14:val="none"/>
        </w:rPr>
        <w:lastRenderedPageBreak/>
        <w:t>Legitimitatea publică este construită inițial prin intervenții asupra administrației, patrimoniului și urbanismului.</w:t>
      </w:r>
    </w:p>
    <w:p w14:paraId="6105B73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Tocmai aici trebuie introdusă întrebarea pe care prezentul studiu nu o va evita. Care au fost structurile instituționale, financiare, civice și mediatice care au făcut posibilă dezvoltarea acestei mișcări?</w:t>
      </w:r>
    </w:p>
    <w:p w14:paraId="33531DE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Răspunsul nu poate fi presupus. Faptul că o persoană a studiat în Franța nu demonstrează că a fost pregătită pentru o funcție politică. Faptul că o organizație neguvernamentală primește finanțări nu demonstrează că finanțatorul controlează ulterior opțiunile politice ale fondatorului. În aceeași măsură însă, dacă dorim să cercetăm serios ipoteza unei ascensiuni susținute din exteriorul politicii tradiționale, finanțările, parteneriatele, rețelele instituționale și susținerea mediatică trebuie documentate.</w:t>
      </w:r>
    </w:p>
    <w:p w14:paraId="16AE63E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Prin urmare, studiul va trata ascensiunea lui Nicușor Dan ca proces, nu ca eveniment. Vom urmări succesiv formarea, societatea civilă, accesul la spațiul public, finanțările identificabile, constituirea mișcării electorale, transformarea ei în partid, desprinderea sa ulterioară de partid, accesul la Primăria Capitalei și candidatura prezidențială.</w:t>
      </w:r>
    </w:p>
    <w:p w14:paraId="3B3C92D4"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Abia această cronologie poate permite verificarea tezei potrivit căreia Nicușor Dan „a fost impus României”. Termenul „impus” presupune existența unui actor sau a unei rețele capabile să determine un rezultat politic împotriva sau independent de mecanismele electorale. Pentru o asemenea concluzie sunt necesare probe suplimentare față de simpla convergență ideologică, sprijin politic sau susținere financiară legală.</w:t>
      </w:r>
    </w:p>
    <w:p w14:paraId="1DD9A20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schimb, dacă documentele vor demonstra existența unei susțineri coerente și de lungă durată provenite din aceleași medii instituționale, politice sau financiare, această continuitate va trebui prezentată ca atare și analizată în raport cu evoluția sa ulterioară.</w:t>
      </w:r>
    </w:p>
    <w:p w14:paraId="412A1700" w14:textId="77777777" w:rsidR="001F2C21" w:rsidRPr="007873B4" w:rsidRDefault="001F2C21" w:rsidP="001F2C21">
      <w:pPr>
        <w:numPr>
          <w:ilvl w:val="0"/>
          <w:numId w:val="3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 la societatea civilă la construcția unei alternative politice</w:t>
      </w:r>
    </w:p>
    <w:p w14:paraId="06C12BC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Transformarea activismului civic într-o mișcare electorală reprezintă următoarea etapă a ascensiunii lui Nicușor Dan. Ea este esențială pentru că modelul creat în București va depăși ulterior cadrul local și va genera o formațiune parlamentară națională.</w:t>
      </w:r>
    </w:p>
    <w:p w14:paraId="3BB91D6D"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2012, Nicușor Dan candidează ca independent la Primăria Municipiului București. Candidatura nu îi aduce funcția, dar îl transformă din activist civic într-un actor electoral. Experiența este repetată și dezvoltată, iar în 2015 este constituită Uniunea Salvați Bucureștiul.</w:t>
      </w:r>
    </w:p>
    <w:p w14:paraId="47AAB7E9"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Denumirea însăși păstrează legătura cu originea civică. Nu apare inițial un partid construit în jurul unei doctrine clasice de stânga sau de dreapta, ci o mișcare concentrată asupra administrației, urbanismului, corupției și reformării modului în care funcționează instituțiile.</w:t>
      </w:r>
    </w:p>
    <w:p w14:paraId="7B5E534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Rezultatele locale creează premisa transformării. În 2016, proiectul depășește Bucureștiul și devine Uniunea Salvați România. În numai câțiva ani, un activism local generează o formațiune capabilă să intre în Parlament.</w:t>
      </w:r>
    </w:p>
    <w:p w14:paraId="6CAD279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evoluție este importantă pentru analiza noastră din două motive.</w:t>
      </w:r>
    </w:p>
    <w:p w14:paraId="49D42485"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Primul privește apariția unui nou tip de legitimitate politică. Partidul nu provine din structurile politice care administraseră România după 1989. El se prezintă ca alternativă la acestea și își extrage o parte importantă din legitimitate din societatea civilă, expertiză, anticorupție și reformarea instituțiilor.</w:t>
      </w:r>
    </w:p>
    <w:p w14:paraId="6A89CE5E"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 doilea privește orientarea europeană. Pe măsură ce proiectul se naționalizează, integrarea europeană și occidentală devine una dintre componentele identității politice a noii formațiuni. Ulterior, USR se va integra instituțional în politica europeană.</w:t>
      </w:r>
    </w:p>
    <w:p w14:paraId="43BED40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Trebuie însă evitată o eroare de retrospectivă. Nu este metodologic corect să luăm pozițiile USR de mai târziu și să presupunem că toate acestea existau deja în proiectul civic inițial al lui Nicușor Dan. Tocmai transformarea dintre activism local, partid național și actor european trebuie cercetată cronologic.</w:t>
      </w:r>
    </w:p>
    <w:p w14:paraId="0AD7D46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această secțiune va trebui analizată documentar și infrastructura care a însoțit dezvoltarea proiectului. Finanțarea campaniilor, donațiile, împrumuturile electorale, susținerea unor organizații civice, accesul mediatic și relațiile politice trebuie urmărite pe ani și pe entități. Numai astfel poate fi stabilită diferența dintre susținere normală într-o democrație și existența unei arhitecturi coordonate de promovare politică.</w:t>
      </w:r>
    </w:p>
    <w:p w14:paraId="14FC2313"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Este relevant și faptul că Nicușor Dan se desprinde ulterior de partidul pe care l-a fondat. Această ruptură împiedică identificarea simplistă a întregii evoluții ulterioare a USR cu persoana sa. Dar formațiunea creată de el rămâne parte a sistemului politic românesc și va participa ulterior la guvernarea în cadrul căreia este negociat PNRR.</w:t>
      </w:r>
    </w:p>
    <w:p w14:paraId="27DA5776"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Aici cele două fire ale studiului încep să se apropie.</w:t>
      </w:r>
    </w:p>
    <w:p w14:paraId="7E5A0F3F"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Primul fir pornește de la Agenda 2030, integrarea europeană și apariția unei guvernanțe bazate pe obiective, standarde și condiționalități.</w:t>
      </w:r>
    </w:p>
    <w:p w14:paraId="6007EBBB"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 doilea urmărește formarea unei noi generații de actori politici români care își construiesc legitimitatea în jurul reformei instituționale, societății civile și orientării europene.</w:t>
      </w:r>
    </w:p>
    <w:p w14:paraId="2AEB4AEA"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Cele două fire nu trebuie declarate identice și nici legate artificial. Ele trebuie urmărite separat până în punctele în care documentele demonstrează că se intersectează.</w:t>
      </w:r>
    </w:p>
    <w:p w14:paraId="1FA5AEA7"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Un asemenea punct va apărea în 2021. USR, partid provenit din mișcarea inițiată de Nicușor Dan, se găsește la guvernare în coaliția PNL–USR–UDMR. Cristian Ghinea conduce ministerul care negociază PNRR cu Comisia Europeană.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coordonează procedura ca prim-ministru, iar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conduce Ministerul Finanțelor în etapa esențială în care planul este negociat și transmis.</w:t>
      </w:r>
    </w:p>
    <w:p w14:paraId="322A06A0"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 alt punct va apărea în 2025, când Nicușor Dan ajunge el însuși la Președinția României.</w:t>
      </w:r>
    </w:p>
    <w:p w14:paraId="114CE652" w14:textId="77777777" w:rsidR="001F2C21" w:rsidRPr="007873B4" w:rsidRDefault="001F2C21" w:rsidP="001F2C21">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 xml:space="preserve">Între aceste două momente se află însă pandemia, </w:t>
      </w: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și PNRR. Acestea trebuie analizate înainte de a reveni la rolul său prezidențial, deoarece ele construiesc sistemul de angajamente pe care președintele din 2025–2026 îl va găsi deja în funcțiune.</w:t>
      </w:r>
    </w:p>
    <w:p w14:paraId="0A99E08C" w14:textId="77777777" w:rsidR="00B81F1C" w:rsidRPr="007873B4" w:rsidRDefault="00B81F1C" w:rsidP="00B81F1C">
      <w:pPr>
        <w:numPr>
          <w:ilvl w:val="0"/>
          <w:numId w:val="35"/>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Nicușor Dan, USR și instituționalizarea curentului reformist proeuropean</w:t>
      </w:r>
    </w:p>
    <w:p w14:paraId="4C481B5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Transformarea Uniunii Salvați Bucureștiul într-o formațiune politică națională reprezintă etapa în care proiectul inițiat de Nicușor Dan depășește caracterul unei mișcări civice locale și intră în structura instituțională a politicii românești. Uniunea Salvați Bucureștiul fusese înregistrată ca partid în anul 2015, iar la alegerile locale din iunie 2016 Nicușor Dan obține peste 30 la sută din voturile pentru funcția de primar general al Capitalei. Rezultatul nu îi asigură funcția, dar demonstrează existența unui electorat semnificativ pentru o construcție politică provenită din afara partidelor tradiționale și creează premisele extinderii proiectului la nivel național.</w:t>
      </w:r>
    </w:p>
    <w:p w14:paraId="054EF46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Salvați România este înregistrată în anul 2016, iar prin procesul de extindere și fuziune proiectul local se transformă într-o formațiune națională condusă inițial de Nicușor Dan. La alegerile parlamentare din decembrie 2016, USR intră în Parlament cu 30 de deputați și 13 senatori. Succesiunea este importantă pentru analiza formării unei noi categorii de reprezentare politică, deoarece într-un interval relativ scurt activismul civic este transformat în candidatură independentă, apoi în partid local, partid național și reprezentare parlamentară.</w:t>
      </w:r>
    </w:p>
    <w:p w14:paraId="4103455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Originea acestei construcții politice este diferită de traseul tradițional al partidelor care au dominat România după 1989. Legitimitatea inițială este construită în jurul societății civile, al criticii administrației, al protejării patrimoniului urban, al transparenței, </w:t>
      </w:r>
      <w:proofErr w:type="spellStart"/>
      <w:r w:rsidRPr="007873B4">
        <w:rPr>
          <w:rFonts w:ascii="Times New Roman" w:eastAsia="Times New Roman" w:hAnsi="Times New Roman" w:cs="Times New Roman"/>
          <w:kern w:val="0"/>
          <w:lang w:val="ro-RO"/>
          <w14:ligatures w14:val="none"/>
        </w:rPr>
        <w:t>anticorupției</w:t>
      </w:r>
      <w:proofErr w:type="spellEnd"/>
      <w:r w:rsidRPr="007873B4">
        <w:rPr>
          <w:rFonts w:ascii="Times New Roman" w:eastAsia="Times New Roman" w:hAnsi="Times New Roman" w:cs="Times New Roman"/>
          <w:kern w:val="0"/>
          <w:lang w:val="ro-RO"/>
          <w14:ligatures w14:val="none"/>
        </w:rPr>
        <w:t xml:space="preserve"> și reformării instituțiilor. Componenta doctrinară este inițial mai puțin pronunțată decât dimensiunea reformistă, iar apropierea de modelul european de administrație și de discursul modernizării instituționale se consolidează pe măsura transformării proiectului într-un partid național.</w:t>
      </w:r>
    </w:p>
    <w:p w14:paraId="3589369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Relația dintre Nicușor Dan și evoluția ulterioară a USR trebuie însă delimitată cronologic. În anul 2017 acesta părăsește conducerea partidului, iar formațiunea își continuă dezvoltarea sub alți lideri, dobândind treptat o identitate politică proprie. Din această cauză nu este justificată atribuirea automată lui Nicușor Dan a tuturor pozițiilor ideologice sau deciziilor adoptate ulterior de USR. Este însă la fel de dificil de ignorat faptul că infrastructura politică din care se dezvoltă partidul își are originea în mișcarea creată de acesta și că o parte dintre temele inițiale privind reforma instituțională, administrația și orientarea europeană vor continua să caracterizeze formațiunea.</w:t>
      </w:r>
    </w:p>
    <w:p w14:paraId="6BFEFF1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La alegerile pentru Parlamentul European din 2019, Alianța 2020 USR PLUS obține 22,36 la sută din voturile valabil exprimate și opt mandate, ceea ce confirmă trecerea de la o mișcare civică bucureșteană la un actor reprezentat inclusiv în instituțiile europene. Pentru obiectul prezentului studiu este relevantă consolidarea unei categorii politice pentru care integrarea europeană nu reprezintă exclusiv o opțiune de politică externă, ci și un reper al reformării interne a statului român. Modernizarea administrației, digitalizarea, transparența, combaterea corupției și apropierea instituțională de standardele europene sunt integrate progresiv într-o concepție comună asupra modernizării.</w:t>
      </w:r>
    </w:p>
    <w:p w14:paraId="308DDC5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 xml:space="preserve">În anul 2021, USR PLUS participă la guvernare în coaliția PNL–USR PLUS–UDMR, iar Cristian Ghinea conduce Ministerul Investițiilor și Proiectelor Europene, instituția care negociază PNRR cu Comisia Europeană. Din punct de vedere documentar, această împrejurare nu permite atribuirea negocierilor PNRR lui Nicușor Dan, care nu mai conducea partidul și nu participa la Guvern. Ea stabilește însă o continuitate instituțională care trebuie reținută în cronologia studiului. Formațiunea politică provenită din proiectul civic inițiat de Nicușor Dan ajunge, la aproximativ un deceniu de la primele sale candidaturi, să participe direct la negocierea unuia dintre cele mai importante programe de reformă și finanțare ale României </w:t>
      </w:r>
      <w:proofErr w:type="spellStart"/>
      <w:r w:rsidRPr="007873B4">
        <w:rPr>
          <w:rFonts w:ascii="Times New Roman" w:eastAsia="Times New Roman" w:hAnsi="Times New Roman" w:cs="Times New Roman"/>
          <w:kern w:val="0"/>
          <w:lang w:val="ro-RO"/>
          <w14:ligatures w14:val="none"/>
        </w:rPr>
        <w:t>postaderare</w:t>
      </w:r>
      <w:proofErr w:type="spellEnd"/>
      <w:r w:rsidRPr="007873B4">
        <w:rPr>
          <w:rFonts w:ascii="Times New Roman" w:eastAsia="Times New Roman" w:hAnsi="Times New Roman" w:cs="Times New Roman"/>
          <w:kern w:val="0"/>
          <w:lang w:val="ro-RO"/>
          <w14:ligatures w14:val="none"/>
        </w:rPr>
        <w:t>.</w:t>
      </w:r>
    </w:p>
    <w:p w14:paraId="4D4AE98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analiza ulterioară a ascensiunii lui Nicușor Dan trebuie cercetată distinct infrastructura politică, financiară, civică și mediatică ce a însoțit această evoluție. Finanțarea organizațiilor și campaniilor, donațiile și împrumuturile electorale, parteneriatele cu organizații neguvernamentale, sprijinul politic și accesul mediatic sunt elemente verificabile care pot permite stabilirea diferenței dintre o evoluție electorală predominant organică, o convergență de interese între diferite medii reformiste și europene și ipoteza mai puternică a unei promovări politice coordonate. Simpla rapiditate a ascensiunii nu este suficientă pentru a demonstra ultima ipoteză, după cum nici caracterul electoral al procesului nu exclude necesitatea cercetării structurilor care l-au susținut.</w:t>
      </w:r>
    </w:p>
    <w:p w14:paraId="4DED6D14" w14:textId="77777777" w:rsidR="00B81F1C" w:rsidRPr="007873B4" w:rsidRDefault="00B81F1C" w:rsidP="00B81F1C">
      <w:pPr>
        <w:numPr>
          <w:ilvl w:val="0"/>
          <w:numId w:val="3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Primăria Capitalei și consolidarea legitimității politice</w:t>
      </w:r>
    </w:p>
    <w:p w14:paraId="287E895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După desprinderea de USR, evoluția politică a lui Nicușor Dan continuă independent de partidul pe care îl fondase. Succesiunea rezultatelor electorale permite observarea unei acumulări de legitimitate pe termen lung. După candidatura din 2012, când obține aproximativ 8,5 la sută din voturile pentru Primăria Capitalei, rezultatul său crește la peste 30 la sută în 2016, iar în anul 2020 câștigă funcția de primar general. În anul 2024 este reales cu aproximativ 47 la sută din voturile exprimate. Privită în această perspectivă, candidatura prezidențială din 2025 nu reprezintă începutul unei cariere politice, ci continuarea unei evoluții de peste un deceniu în care notorietatea civică este transformată succesiv în reprezentare parlamentară și legitimitate executivă.</w:t>
      </w:r>
    </w:p>
    <w:p w14:paraId="19675F6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Primăria Municipiului București are o importanță particulară în această evoluție deoarece oferă experiența administrării directe a celui mai mare centru urban al României, cu probleme complexe privind transportul, termoficarea, infrastructura, urbanismul, bugetul, datoria publică și raporturile instituționale dintre Primăria Generală și sectoare. Funcția permite astfel transformarea profilului de activist și parlamentar într-un profil executiv, supus unei evaluări electorale directe la sfârșitul mandatului. Realegerea din 2024 consolidează această poziție și îi permite lui Nicușor Dan să intre în perioada crizei prezidențiale din 2024 cu o legitimitate electorală recent reconfirmată.</w:t>
      </w:r>
    </w:p>
    <w:p w14:paraId="2DC34D2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Referendumul local organizat în 2024 prezintă interes și din perspectiva temei generale a studiului. Consultarea bucureștenilor asupra repartizării veniturilor între Primăria Generală și sectoare și asupra competențelor în materia autorizațiilor de construire reprezintă utilizarea mecanismului democratic direct pentru modificarea distribuției puterii administrative. În această etapă a carierei sale, Nicușor Dan își fundamentează solicitarea de extindere a competențelor instituției pe care o conduce prin apelul direct la electorat.</w:t>
      </w:r>
    </w:p>
    <w:p w14:paraId="3874ACF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experiență va trebui comparată ulterior cu poziția sa din calitatea de președinte al României, când problema nu va mai privi redistribuirea unor competențe locale, ci menținerea unei direcții strategice a statului, respectarea angajamentelor financiare și fiscale și formarea unor guverne compatibile cu orientarea pe care o definește drept prooccidentală. Comparația nu presupune existența unei contradicții, deoarece natura celor două funcții și obligațiile constituționale sunt diferite, dar permite cercetarea modului în care concepția asupra legitimității politice evoluează odată cu poziția ocupată în sistemul instituțional.</w:t>
      </w:r>
    </w:p>
    <w:p w14:paraId="6F1D202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Anularea procesului electoral prezidențial din 2024 modifică fundamental contextul politic. La 6 decembrie 2024 Curtea Constituțională dispune anularea procesului electoral, iar la 16 decembrie Nicușor Dan își anunță candidatura la scrutinul care urma să fie reorganizat. Apropierea celor două momente trebuie consemnată cronologic, dar nu poate fi transformată prin ea însăși într-o dovadă că anularea alegerilor ar fi fost realizată pentru a permite candidatura sa. Pentru examinarea unei asemenea ipoteze ar fi necesare probe privind decizia CCR, informațiile pe care aceasta s-a întemeiat, actorii implicați și eventualele legături cu pregătirea candidaturii. Studiul va analiza separat aceste elemente atunci când ajunge cronologic la perioada 2024–2025.</w:t>
      </w:r>
    </w:p>
    <w:p w14:paraId="4B6670F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Ceea ce poate fi deja stabilit este faptul că Nicușor Dan nu apare politic în decembrie 2024. La acel moment exista deja o evoluție de aproximativ cincisprezece ani în spațiul civic și electoral, construise o organizație civică, un partid local și un partid național, fusese parlamentar, câștigase Primăria Capitalei și fusese reales. Întrebarea privind eventuala sa susținere de către structuri externe sau interne trebuie, prin urmare, analizată asupra întregii perioade, nu exclusiv asupra campaniei prezidențiale.</w:t>
      </w:r>
    </w:p>
    <w:p w14:paraId="3409CCC4" w14:textId="77777777" w:rsidR="00B81F1C" w:rsidRPr="007873B4" w:rsidRDefault="00B81F1C" w:rsidP="00B81F1C">
      <w:pPr>
        <w:numPr>
          <w:ilvl w:val="0"/>
          <w:numId w:val="3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Pandemia din 2020 și extinderea mecanismelor europene de intervenție</w:t>
      </w:r>
    </w:p>
    <w:p w14:paraId="770144C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Pandemia COVID-19 reprezintă pentru Uniunea Europeană un moment de accelerare a unor forme de coordonare care vor avea ulterior consecințe economice și instituționale mult mai largi decât administrarea crizei sanitare. În iunie 2020 este prezentată Strategia UE privind vaccinurile, iar Comisia Europeană negociază, în numele statelor membre, acorduri preliminare de achiziție cu producătorii. </w:t>
      </w:r>
      <w:proofErr w:type="spellStart"/>
      <w:r w:rsidRPr="007873B4">
        <w:rPr>
          <w:rFonts w:ascii="Times New Roman" w:eastAsia="Times New Roman" w:hAnsi="Times New Roman" w:cs="Times New Roman"/>
          <w:kern w:val="0"/>
          <w:lang w:val="ro-RO"/>
          <w14:ligatures w14:val="none"/>
        </w:rPr>
        <w:t>Emergency</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Support</w:t>
      </w:r>
      <w:proofErr w:type="spellEnd"/>
      <w:r w:rsidRPr="007873B4">
        <w:rPr>
          <w:rFonts w:ascii="Times New Roman" w:eastAsia="Times New Roman" w:hAnsi="Times New Roman" w:cs="Times New Roman"/>
          <w:kern w:val="0"/>
          <w:lang w:val="ro-RO"/>
          <w14:ligatures w14:val="none"/>
        </w:rPr>
        <w:t xml:space="preserve"> Instrument permite finanțarea anticipată a unei părți a costurilor de dezvoltare și extindere a capacităților de producție. Materialul analizat consemnează o alocare inițială de 2,7 miliarde euro, completată ulterior prin contribuții ale statelor membre, precum și încheierea, între august 2020 și noiembrie 2021, a 11 contracte cu opt producători, care ofereau acces la până la 4,6 miliarde de doze, la un cost estimat de aproximativ 71 miliarde euro.</w:t>
      </w:r>
    </w:p>
    <w:p w14:paraId="06B894B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Mecanismul este relevant pentru studiul nostru deoarece permite delimitarea responsabilităților dintre nivelul european și cel național. Comisia negocia cadrul contractual și utiliza puterea de negociere agregată a Uniunii, în timp ce statele membre rămâneau cumpărătorii finali și participau la stabilirea necesarului. În anumite acorduri exista inclusiv posibilitatea neparticipării într-un termen stabilit. În consecință, existența mecanismului european nu elimina decizia națională privind cantitățile asumate.</w:t>
      </w:r>
    </w:p>
    <w:p w14:paraId="722EAF4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distincție devine importantă în cazul României. Potrivit acuzațiilor formulate de DNA, România contractase deja 56.294.433 de doze pentru o populație eligibilă indicată de procurori la </w:t>
      </w:r>
      <w:r w:rsidRPr="007873B4">
        <w:rPr>
          <w:rFonts w:ascii="Times New Roman" w:eastAsia="Times New Roman" w:hAnsi="Times New Roman" w:cs="Times New Roman"/>
          <w:kern w:val="0"/>
          <w:lang w:val="ro-RO"/>
          <w14:ligatures w14:val="none"/>
        </w:rPr>
        <w:lastRenderedPageBreak/>
        <w:t xml:space="preserve">aproximativ 10,7 milioane de persoane, după care, în mai 2021, autoritățile române ar fi participat la achiziția unor cantități suplimentare de vaccin Pfizer, inițial de aproximativ 39,1 milioane de doze și ulterior modificate la aproximativ 34,1 milioane. Pentru componenta respectivă, procurorii au indicat un presupus prejudiciu de aproximativ 664,9 milioane euro, la care se adăuga TVA.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Vlad Voiculescu și Ioana Mihăilă au fost vizați de procedurile penale menționate în materialul analizat, fără ca acuzațiile procurorilor să poată fi tratate ca stabilire definitivă a vinovăției.</w:t>
      </w:r>
    </w:p>
    <w:p w14:paraId="040860B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Cazul este relevant metodologic deoarece arată că originea europeană a unui mecanism nu transferă automat asupra instituției europene responsabilitatea pentru toate deciziile adoptate în interiorul acelui mecanism. Uniunea creează și negociază cadrul comun, iar autoritatea națională poate păstra o marjă importantă de decizie. Aceeași metodă de analiză va fi utilizată ulterior în materia fiscală, unde trebuie diferențiată obligația europeană de rezultat de alegerea românească a cotei, plafonului sau categoriei de contribuabili asupra căreia este aplicată măsura.</w:t>
      </w:r>
    </w:p>
    <w:p w14:paraId="5072047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Importanța anului 2020 pentru prezentul studiu depășește însă politica vaccinurilor. Efectele economice ale pandemiei determină Uniunea Europeană să dezvolte un răspuns financiar comun de dimensiuni fără precedent, iar intervenția concepută inițial pentru redresarea economiei va deveni cadrul în care sunt introduse reforme structurale pe termen mediu. Legătura dintre pandemia sanitară și fiscalitatea românească din anii următori nu este una directă, ci instituțională. Criza conduce la </w:t>
      </w: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include </w:t>
      </w:r>
      <w:proofErr w:type="spellStart"/>
      <w:r w:rsidRPr="007873B4">
        <w:rPr>
          <w:rFonts w:ascii="Times New Roman" w:eastAsia="Times New Roman" w:hAnsi="Times New Roman" w:cs="Times New Roman"/>
          <w:kern w:val="0"/>
          <w:lang w:val="ro-RO"/>
          <w14:ligatures w14:val="none"/>
        </w:rPr>
        <w:t>Recovery</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and</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Resilience</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Facility</w:t>
      </w:r>
      <w:proofErr w:type="spellEnd"/>
      <w:r w:rsidRPr="007873B4">
        <w:rPr>
          <w:rFonts w:ascii="Times New Roman" w:eastAsia="Times New Roman" w:hAnsi="Times New Roman" w:cs="Times New Roman"/>
          <w:kern w:val="0"/>
          <w:lang w:val="ro-RO"/>
          <w14:ligatures w14:val="none"/>
        </w:rPr>
        <w:t>, iar accesul la finanțarea acestui mecanism presupune planuri naționale construite din investiții și reforme.</w:t>
      </w:r>
    </w:p>
    <w:p w14:paraId="41235DB2" w14:textId="77777777" w:rsidR="00B81F1C" w:rsidRPr="007873B4" w:rsidRDefault="00B81F1C" w:rsidP="00B81F1C">
      <w:pPr>
        <w:numPr>
          <w:ilvl w:val="0"/>
          <w:numId w:val="38"/>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și transformarea finanțării europene într-un mecanism de reformă</w:t>
      </w:r>
    </w:p>
    <w:p w14:paraId="04CE3C2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Răspunsul economic european la pandemia din 2020 conduce la constituirea </w:t>
      </w: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și a Mecanismului de Redresare și Reziliență. Pentru România, importanța acestui mecanism rezultă din asocierea finanțării cu realizarea unor reforme și atingerea unor jaloane și ținte. Planul românesc este transmis Comisiei Europene la 31 mai 2021, primește evaluarea favorabilă a Comisiei la 27 septembrie și este aprobat de Consiliu la 29 octombrie 2021. Valoarea inițială este de aproximativ 29,2 miliarde euro, formată din aproximativ 14,24 miliarde euro granturi și 14,94 miliarde euro împrumuturi.</w:t>
      </w:r>
    </w:p>
    <w:p w14:paraId="76E73AE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Semnificația instituțională a mecanismului constă în faptul că finanțarea nu este acordată exclusiv pentru realizarea unor investiții, ci este legată de un program de reforme convenit între statul membru și instituțiile europene. În cazul României, planul evaluat în 2021 cuprindea 64 de reforme și 107 investiții, între acestea aflându-se digitalizarea administrației fiscale, combaterea neconformării și modificări ale sistemului fiscal.</w:t>
      </w:r>
    </w:p>
    <w:p w14:paraId="1FCB7E5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suveranității, trebuie evitată atât caracterizarea PNRR drept simplă impunere externă, cât și prezentarea lui drept program exclusiv național. România elaborează și negociază planul, iar instituțiile europene îl evaluează și îl aprobă în cadrul mecanismului comun. Condiționalitatea rezultă tocmai din această asociere. Statul acceptă reformele pentru a participa la mecanism și pentru a beneficia de finanțare, iar după aprobarea planului îndeplinirea angajamentelor devine condiție pentru efectuarea plăților.</w:t>
      </w:r>
    </w:p>
    <w:p w14:paraId="5CBBBCE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construcție produce un efect important asupra succesiunii politice. Guvernul care negociază planul poate fi înlocuit, dar angajamentul statului continuă. Reforma convenită în anul 2021 poate fi pusă în aplicare de un ministru aparținând altui partid în 2022, modificată de un alt ministru în 2023 și continuată de un alt guvern în 2024 sau 2025. Alternanța electorală nu anulează obligația asumată anterior, în măsura în care statul dorește menținerea finanțării și respectarea acordului.</w:t>
      </w:r>
    </w:p>
    <w:p w14:paraId="2949F0B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Acesta este mecanismul care explică o parte importantă din continuitatea fiscală observată ulterior în România. OG nr. 16/2022 este adoptată în mandatul lui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Legea nr. 296/2023 și OUG nr. 115/2023 în mandatul lui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iar OUG nr. 156/2024 în mandatul lui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Miniștrii și partidele se schimbă, în timp ce anumite componente ale reformei fiscale continuă deoarece au devenit angajamente ale statului, nu ale persoanelor care le-au negociat inițial.</w:t>
      </w:r>
    </w:p>
    <w:p w14:paraId="14A3477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introduce astfel în analiza noastră o formă particulară de continuitate instituțională. Nu este neobișnuit ca un stat să își asume obligații care depășesc durata unui guvern. Tratatele, împrumuturile și investițiile publice funcționează în mod obișnuit astfel. Particularitatea PNRR constă în întinderea reformelor, în legarea lor de tranșele financiare și în caracterul foarte precis al unor jaloane. Din această perspectivă, problema suveranității nu privește existența obligației internaționale în sine, ci proporția politicii economice viitoare care poate fi angajată înainte ca următorul electorat și următorul Parlament să se pronunțe.</w:t>
      </w:r>
    </w:p>
    <w:p w14:paraId="56F94432" w14:textId="77777777" w:rsidR="00B81F1C" w:rsidRPr="007873B4" w:rsidRDefault="00B81F1C" w:rsidP="00B81F1C">
      <w:pPr>
        <w:numPr>
          <w:ilvl w:val="0"/>
          <w:numId w:val="3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Cristian Ghinea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Negocierea și asumarea reformelor PNRR</w:t>
      </w:r>
    </w:p>
    <w:p w14:paraId="33BA1333"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Identificarea responsabilității pentru componenta fiscală a PNRR necesită revenirea la anul 2021 și la instituțiile românești care au elaborat și negociat planul. OUG nr. 24 din 31 martie 2021 este relevantă deoarece stabilește cadrul instituțional al procesului. Actul este adoptat de Guvernul condus de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și este contrasemnat, între alții, de viceprim-ministrul Dan Barna, ministrul investițiilor și proiectelor europene Cristian Ghinea și ministrul finanțelor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Ministerul Investițiilor și Proiectelor Europene primește rolul central în relația de negociere cu Comisia Europeană, Ministerul Finanțelor gestionează componentele financiare și participarea relevantă la nivelul Consiliului, iar procedura se desfășoară sub coordonarea prim-ministrului.</w:t>
      </w:r>
    </w:p>
    <w:p w14:paraId="047F47A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structură permite delimitarea responsabilității politice fără personalizarea excesivă a procesului.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răspunde politic în calitate de prim-ministru al guvernului care negociază planul, Cristian Ghinea conduce ministerul cu responsabilitatea operațională principală pentru negocierea cu Comisia, iar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conduce Ministerul Finanțelor în perioada în care componenta financiară și fiscală este construită. Dan Barna participă la conducerea politică a coaliției în calitate de viceprim-ministru. PNRR nu poate fi atribuit exclusiv unuia dintre acești actori, după cum nu poate fi prezentat drept document redactat unilateral de Comisia Europeană și transmis României spre executare.</w:t>
      </w:r>
    </w:p>
    <w:p w14:paraId="21EB6C2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Comparația dintre proiectul public din aprilie 2021 și planul transmis oficial la 31 mai este deosebit de relevantă pentru stabilirea originii reformelor fiscale. În varianta publică din aprilie exista deja componenta privind digitalizarea ANAF, combaterea neconformării, creșterea </w:t>
      </w:r>
      <w:r w:rsidRPr="007873B4">
        <w:rPr>
          <w:rFonts w:ascii="Times New Roman" w:eastAsia="Times New Roman" w:hAnsi="Times New Roman" w:cs="Times New Roman"/>
          <w:kern w:val="0"/>
          <w:lang w:val="ro-RO"/>
          <w14:ligatures w14:val="none"/>
        </w:rPr>
        <w:lastRenderedPageBreak/>
        <w:t>colectării și revizuirea cadrului fiscal în domeniul impozitului pe venit și al impozitării proprietății. Forma publică respectivă nu prezenta însă cu aceeași explicitare unele dintre măsurile care vor apărea în documentul transmis la sfârșitul lunii mai. În planul oficial sunt introduse angajamente privind reducerea regimului special al microîntreprinderilor, eliminarea graduală a facilităților fiscale din construcții și reducerea altor stimulente considerate excesive.</w:t>
      </w:r>
    </w:p>
    <w:p w14:paraId="5FA1531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Perioada dintre proiectul din aprilie și transmiterea din 31 mai trebuie privită ca interval de negociere. Declarațiile ulterioare ale lui Cristian Ghinea completează documentele oficiale prin descrierea pozițiilor aflate în discuție. Potrivit acestuia, Comisia considera că România avea prea multe excepții fiscale, venituri bugetare reduse și un regim al microîntreprinderilor prea extins, iar poziția inițială europeană fusese mai severă decât soluția finală negociată. Ghinea a legat explicit reducerea plafonului microîntreprinderilor de discuțiile cu Comisia și de compromisul politic acceptat în interiorul coaliției PNL–USR–UDMR.</w:t>
      </w:r>
    </w:p>
    <w:p w14:paraId="4AFD45F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aceste elemente nu rezultă nici că reforma fiscală a fost concepută integral la Bruxelles, nici că ea reprezintă exclusiv inițiativa autonomă a Guvernului României. Documentele susțin existența unei negocieri în care Comisia solicită reducerea excepțiilor și o reformă fiscală mai amplă, iar Guvernul și coaliția românească acceptă anumite angajamente și negociază forma lor. După introducerea acestor angajamente în PNRR și aprobarea planului prin decizia Consiliului, natura lor instituțională se modifică, deoarece ele devin jaloane asociate finanțării europene.</w:t>
      </w:r>
    </w:p>
    <w:p w14:paraId="7170E4F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succesiune permite formularea unei distincții care trebuie menținută în întregul studiu între originea unei direcții de reformă și alegerea concretă a instrumentului fiscal. Reducerea sferei regimului microîntreprinderilor are o legătură directă cu PNRR, deoarece această direcție este consacrată ulterior prin jalonul 206. Din aceasta nu rezultă însă că fiecare plafon, cotă sau condiție tehnică introdusă ulterior în Codul fiscal a fost stabilită de Comisia Europeană. În mod similar, reducerea facilităților din construcții este legată direct de jalonul 208, dar calendarul exact și extinderea unor măsuri asupra altor sectoare trebuie atribuite autorităților care le-au adoptat dacă nu există un document european care să prevadă expres soluția respectivă.</w:t>
      </w:r>
    </w:p>
    <w:p w14:paraId="130C132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anul 2022, această distincție devine vizibilă odată cu OG nr. 16/2022. Guvernul și ministrul Finanțelor nu pornesc de la o pagină albă, deoarece o parte dintre direcțiile reformei erau deja asumate prin PNRR. În același timp, ei păstrează responsabilitatea pentru instrumentele legislative concrete prin care aleg să realizeze aceste angajamente. Tocmai această combinație dintre condiționalitatea externă și alegerea internă va permite, în secțiunile următoare, stabilirea pentru fiecare măsură fiscală a celui care a cerut direcția, a celui care a negociat obligația și a celui care a ales modalitatea concretă prin care costul reformei este distribuit în economia românească.</w:t>
      </w:r>
    </w:p>
    <w:p w14:paraId="7105AED4" w14:textId="77777777" w:rsidR="00B81F1C" w:rsidRPr="007873B4" w:rsidRDefault="00B81F1C" w:rsidP="00B81F1C">
      <w:pPr>
        <w:numPr>
          <w:ilvl w:val="0"/>
          <w:numId w:val="4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Aprilie–mai 2021. Formarea componentei fiscale a PNRR</w:t>
      </w:r>
    </w:p>
    <w:p w14:paraId="0210E92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Perioada dintre proiectul public al PNRR din aprilie 2021 și transmiterea oficială a planului către Comisia Europeană la 31 mai 2021 este importantă pentru stabilirea originii angajamentelor fiscale asumate ulterior de România. Analiza celor două momente indică o evoluție de la formulări generale privind modernizarea administrației fiscale și revizuirea sistemului de </w:t>
      </w:r>
      <w:r w:rsidRPr="007873B4">
        <w:rPr>
          <w:rFonts w:ascii="Times New Roman" w:eastAsia="Times New Roman" w:hAnsi="Times New Roman" w:cs="Times New Roman"/>
          <w:kern w:val="0"/>
          <w:lang w:val="ro-RO"/>
          <w14:ligatures w14:val="none"/>
        </w:rPr>
        <w:lastRenderedPageBreak/>
        <w:t>impozitare către angajamente mai precise privind regimul microîntreprinderilor, facilitățile fiscale, impozitarea proprietății și reducerea distorsiunilor existente în sistem.</w:t>
      </w:r>
    </w:p>
    <w:p w14:paraId="5DCDBB4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forma publică din aprilie 2021, componenta fiscală includea deja digitalizarea administrației fiscale, combaterea neconformării, îmbunătățirea colectării și revizuirea cadrului fiscal privind impozitul pe venit și impozitarea proprietății. Aceste elemente arată că reforma fiscală nu apare exclusiv ca urmare a unei intervenții ulterioare a Comisiei Europene, deoarece Guvernul României introdusese deja în propriul proiect necesitatea modificării unor componente ale sistemului fiscal. Ceea ce se modifică până la 31 mai este gradul de precizie și întinderea angajamentelor.</w:t>
      </w:r>
    </w:p>
    <w:p w14:paraId="3895CC5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forma transmisă oficial Comisiei apar reducerea graduală a sferei regimului special aplicabil microîntreprinderilor, eliminarea graduală a unor facilități fiscale, inclusiv cele privind personalul din construcții, revizuirea altor stimulente din impozitarea veniturilor, profitului și contribuțiilor sociale și reforma impozitării proprietății. Aceste elemente vor fi ulterior individualizate prin jaloanele 205–208.</w:t>
      </w:r>
    </w:p>
    <w:p w14:paraId="65CDE02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Declarațiile ulterioare ale lui Cristian Ghinea sunt relevante pentru reconstituirea negocierii deoarece confirmă existența unor diferențe între poziția inițială a Comisiei și soluția acceptată în plan. Potrivit explicațiilor sale, Comisia considera că România avea prea multe excepții fiscale, venituri fiscale reduse și un regim al microîntreprinderilor prea extins. Ghinea a arătat că poziția Comisiei fusese mai severă în privința facilităților și că reducerea plafonului pentru microîntreprinderi fusese acceptată în cadrul negocierilor politice ale coaliției PNL–USR–UDMR.</w:t>
      </w:r>
    </w:p>
    <w:p w14:paraId="261D263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Aceste informații permit delimitarea a trei contribuții distincte. Guvernul României intră în negociere având deja propriul proiect de reformă fiscală. Comisia Europeană solicită o intervenție mai amplă asupra excepțiilor și regimurilor preferențiale. Coaliția politică românească negociază și acceptă forma finală a angajamentelor. Din acest motiv, utilizarea exclusivă a termenului „impunere” nu descrie complet procesul inițial din 2021, după cum nici prezentarea reformelor drept inițiativă exclusiv românească nu corespunde documentelor și declarațiilor disponibile.</w:t>
      </w:r>
    </w:p>
    <w:p w14:paraId="4750C57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Distincția devine mai importantă după aprobarea planului. Ceea ce în aprilie și mai 2021 reprezintă obiectul unei negocieri devine, după aprobarea PNRR, angajament al statului român și condiție asociată finanțării. Pentru guvernele care succed cabinetului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libertatea de negociere existentă în momentul originar este considerabil diferită de situația în care acestea găsesc jaloanele deja asumate.</w:t>
      </w:r>
    </w:p>
    <w:p w14:paraId="00B4D8E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Din perspectiva răspunderii politice, anul 2021 trebuie astfel tratat ca moment al asumării. Florin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conduce Guvernul, Cristian Ghinea conduce ministerul care negociază cu Comisia,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conduce Ministerul Finanțelor în perioada determinantă pentru componenta financiară, iar coaliția PNL–USR–UDMR oferă suportul politic pentru plan. Responsabilitatea guvernelor următoare va privi în principal modul de executare și instrumentele alese pentru realizarea obligațiilor asumate.</w:t>
      </w:r>
    </w:p>
    <w:p w14:paraId="34F2BC63"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delimitare este necesară pentru teza generală privind suveranitatea. O restrângere ulterioară a libertății de decizie a statului poate proveni dintr-o decizie pe care statul însuși a acceptat-o anterior. Din punct de vedere juridic, aceasta nu elimină caracterul voluntar al asumării inițiale. Din punct de vedere democratic, rămâne însă întrebarea în ce măsură o majoritate politică poate angaja politica fiscală a unor majorități viitoare și cât de extins poate fi domeniul unor asemenea angajamente fără ca alternanța electorală să își piardă o parte din capacitatea de a modifica politica economică.</w:t>
      </w:r>
    </w:p>
    <w:p w14:paraId="5F31F5F6" w14:textId="77777777" w:rsidR="00B81F1C" w:rsidRPr="007873B4" w:rsidRDefault="00B81F1C" w:rsidP="00B81F1C">
      <w:pPr>
        <w:numPr>
          <w:ilvl w:val="0"/>
          <w:numId w:val="4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Jaloanele 205–208. Transformarea reformei negociate în obligație măsurabilă</w:t>
      </w:r>
    </w:p>
    <w:p w14:paraId="1AB5B51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Jaloanele 205–208 reprezintă nucleul fiscal al mecanismului care va influența legislația românească în anii următori. Importanța lor nu rezultă numai din conținutul fiecăruia, ci din transformarea unor direcții generale de reformă în rezultate a căror realizare poate fi verificată în cadrul PNRR.</w:t>
      </w:r>
    </w:p>
    <w:p w14:paraId="47F1504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205 privește analiza sistemului fiscal românesc cu sprijinul unei instituții independente și formularea unor recomandări privind restructurarea acestuia. El este relevant deoarece introduce expertiza externă în procesul de reformă și creează legătura instituțională cu asistența tehnică furnizată ulterior de Banca Mondială. Ministerul Finanțelor va contracta în 2022 servicii de consultanță pentru analiza cadrului fiscal, acoperind impozitarea profitului, veniturilor, contribuțiilor sociale, proprietății, veniturilor din capital, microîntreprinderilor și fiscalitatea de mediu.</w:t>
      </w:r>
    </w:p>
    <w:p w14:paraId="0FA0B51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206 privește intrarea în vigoare a modificărilor Codului fiscal prin care se reduce gradual sfera regimului special pentru microîntreprinderi. Acesta reprezintă unul dintre cazurile în care filiația europeană a direcției reformei este cel mai ușor de demonstrat. Comisia Europeană va identifica ulterior între actele utilizate pentru realizarea acestui jalon OG nr. 16/2022, Legea nr. 370/2022, Legea nr. 296/2023 și OUG nr. 115/2023, iar modificările ulterioare continuă procesul de restrângere a regimului.</w:t>
      </w:r>
    </w:p>
    <w:p w14:paraId="2350074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207 are un caracter mai larg și privește reducerea sau eliminarea altor stimulente fiscale în scopul simplificării sistemului, îmbunătățirii eficienței, transparenței și echității și dezvoltării componentei de fiscalitate verde. Caracterul general al formulării este important pentru atribuirea responsabilității. Jalonul stabilește direcția, dar nu rezultă din formularea sa că Uniunea Europeană ar fi stabilit fiecare cotă de impozit adoptată ulterior de România. Majorarea impozitului pe dividende, introducerea unor impozite suplimentare sau alegerea unei anumite cote de TVA trebuie analizate separat și atribuite autorității care a ales instrumentul dacă nu există un document european care să îl prescrie expres.</w:t>
      </w:r>
    </w:p>
    <w:p w14:paraId="5033F30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208 privește reducerea graduală a facilităților fiscale pentru personalul din sectorul construcțiilor. În acest caz există, asemenea microîntreprinderilor, o legătură directă între PNRR și direcția reformei. Legislația ulterioară va restrânge și apoi elimina o parte dintre facilități. Extinderea măsurilor asupra altor domenii, precum IT, agricultură și industria alimentară, trebuie însă analizată distinct, deoarece existența unui jalon referitor la construcții nu demonstrează automat că fiecare măsură adoptată pentru celelalte sectoare a fost cerută prin același angajament.</w:t>
      </w:r>
    </w:p>
    <w:p w14:paraId="740025C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Cele patru jaloane permit astfel construirea unei metode de atribuire care va fi utilizată în restul studiului. Pentru fiecare măsură trebuie stabilit dacă există o obligație europeană explicită, dacă există un angajament PNRR negociat de România, dacă măsura reprezintă o recomandare tehnică, dacă rezultă din procedura de deficit excesiv sau dacă este o alegere exclusiv națională făcută pentru obținerea veniturilor necesare.</w:t>
      </w:r>
    </w:p>
    <w:p w14:paraId="44B5CD8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metodă este indispensabilă pentru evitarea unei confuzii care a caracterizat frecvent discursul politic românesc. Expresia „ne cere Bruxelles-</w:t>
      </w:r>
      <w:proofErr w:type="spellStart"/>
      <w:r w:rsidRPr="007873B4">
        <w:rPr>
          <w:rFonts w:ascii="Times New Roman" w:eastAsia="Times New Roman" w:hAnsi="Times New Roman" w:cs="Times New Roman"/>
          <w:kern w:val="0"/>
          <w:lang w:val="ro-RO"/>
          <w14:ligatures w14:val="none"/>
        </w:rPr>
        <w:t>ul</w:t>
      </w:r>
      <w:proofErr w:type="spellEnd"/>
      <w:r w:rsidRPr="007873B4">
        <w:rPr>
          <w:rFonts w:ascii="Times New Roman" w:eastAsia="Times New Roman" w:hAnsi="Times New Roman" w:cs="Times New Roman"/>
          <w:kern w:val="0"/>
          <w:lang w:val="ro-RO"/>
          <w14:ligatures w14:val="none"/>
        </w:rPr>
        <w:t>” poate desemna situații juridic foarte diferite. Poate exista un regulament obligatoriu, un jalon PNRR negociat și acceptat de România, o recomandare a Comisiei, o obligație privind deficitul sau numai o alegere guvernamentală justificată politic prin necesitatea respectării angajamentelor europene. Pentru contribuabil efectul poate fi aceeași creștere a sarcinii fiscale, dar responsabilitatea politică și juridică este diferită.</w:t>
      </w:r>
    </w:p>
    <w:p w14:paraId="0D9BBC72" w14:textId="77777777" w:rsidR="00B81F1C" w:rsidRPr="007873B4" w:rsidRDefault="00B81F1C" w:rsidP="00B81F1C">
      <w:pPr>
        <w:numPr>
          <w:ilvl w:val="0"/>
          <w:numId w:val="4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Banca Mondială și construcția tehnică a reformei fiscale</w:t>
      </w:r>
    </w:p>
    <w:p w14:paraId="2A991E8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Rolul Băncii Mondiale trebuie analizat după stabilirea jaloanelor PNRR deoarece această succesiune cronologică permite evitarea atribuirii către instituția financiară a unor reforme care fuseseră deja asumate înainte de intervenția sa contractuală. La 30 iunie 2022, Ministerul Finanțelor încheie cu Banca Mondială un acord de servicii de asistență tehnică rambursabile privind îmbunătățirea cadrului fiscal al României în contextul PNRR. Beneficiarul serviciilor este statul român prin Ministerul Finanțelor, iar obiectul analizei acoperă principalele componente ale sistemului fiscal.</w:t>
      </w:r>
    </w:p>
    <w:p w14:paraId="4F360FD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cronologie stabilește o limită importantă a tezei privind Banca Mondială. Jaloanele fiscale existau deja în PNRR din 2021, în timp ce contractul de consultanță este încheiat la sfârșitul lunii iunie 2022. În consecință, Banca Mondială nu poate fi prezentată pe baza acestui contract drept autorul originar al jaloanelor 205–208. Rolul său este mai precis și, în anumite privințe, mai important pentru etapa următoare, analiza tehnică a sistemului, formularea recomandărilor și dezvoltarea unor modele de reformă care pot fi utilizate de Ministerul Finanțelor pentru executarea angajamentelor deja asumate.</w:t>
      </w:r>
    </w:p>
    <w:p w14:paraId="6809A3C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Domeniul consultanței este foarte larg. El include impozitul pe profit, impozitul pe venit, contribuțiile sociale, veniturile din capital, regimul întreprinderilor mici și microîntreprinderilor, impozitarea proprietății și fiscalitatea de mediu. Această întindere justifică analiza Băncii Mondiale ca unul dintre centrele de expertiză tehnică ale reformei, fără a o transforma într-un autor juridic al legislației fiscale românești.</w:t>
      </w:r>
    </w:p>
    <w:p w14:paraId="54DD2E3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Cazul impozitării proprietății este deosebit de relevant. Asistența tehnică privește inclusiv dezvoltarea unui sistem automatizat de evaluare în masă bazat pe valori de piață, registre de tranzacții și interoperabilitatea bazelor de date. Ulterior, arhitectura bazată pe valoarea de piață și evaluarea în masă reapare în documentele privind reforma proprietății și în cadrul european al consolidării fiscale.</w:t>
      </w:r>
    </w:p>
    <w:p w14:paraId="44429F7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continuitate permite examinarea unei forme de influență diferite de constrângerea juridică. Banca Mondială nu adoptă Codul fiscal al României și nu poate impune prin act propriu </w:t>
      </w:r>
      <w:r w:rsidRPr="007873B4">
        <w:rPr>
          <w:rFonts w:ascii="Times New Roman" w:eastAsia="Times New Roman" w:hAnsi="Times New Roman" w:cs="Times New Roman"/>
          <w:kern w:val="0"/>
          <w:lang w:val="ro-RO"/>
          <w14:ligatures w14:val="none"/>
        </w:rPr>
        <w:lastRenderedPageBreak/>
        <w:t>o cotă de impozit contribuabilului român. Ea poate însă analiza sistemul, identifica probleme, construi modele, estima efecte și recomanda soluții care sunt ulterior preluate de autoritatea politică. Influența tehnică poate fi substanțială chiar în absența puterii legislative.</w:t>
      </w:r>
    </w:p>
    <w:p w14:paraId="4AEB7303"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Pentru fiecare reformă trebuie însă verificată cronologia. OG nr. 16/2022 este adoptată la foarte scurt timp după încheierea contractului cu Banca Mondială, ceea ce nu permite atribuirea automată a măsurilor sale unui raport final rezultat din această consultanță. Documentele ulterioare ale Băncii Mondiale descriu reformele adoptate în 2022, inclusiv reducerea plafonului microîntreprinderilor de la un milion la 500.000 euro, modificările privind </w:t>
      </w:r>
      <w:proofErr w:type="spellStart"/>
      <w:r w:rsidRPr="007873B4">
        <w:rPr>
          <w:rFonts w:ascii="Times New Roman" w:eastAsia="Times New Roman" w:hAnsi="Times New Roman" w:cs="Times New Roman"/>
          <w:kern w:val="0"/>
          <w:lang w:val="ro-RO"/>
          <w14:ligatures w14:val="none"/>
        </w:rPr>
        <w:t>HoReCa</w:t>
      </w:r>
      <w:proofErr w:type="spellEnd"/>
      <w:r w:rsidRPr="007873B4">
        <w:rPr>
          <w:rFonts w:ascii="Times New Roman" w:eastAsia="Times New Roman" w:hAnsi="Times New Roman" w:cs="Times New Roman"/>
          <w:kern w:val="0"/>
          <w:lang w:val="ro-RO"/>
          <w14:ligatures w14:val="none"/>
        </w:rPr>
        <w:t xml:space="preserve"> și creșterea impozitului pe dividende de la 5 la 8 la sută. Faptul că instituția le descrie sau le evaluează ulterior nu demonstrează că ea a stabilit inițial nivelurile respective.</w:t>
      </w:r>
    </w:p>
    <w:p w14:paraId="45A8267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Poziția Băncii Mondiale în arhitectura analizată este astfel aceea de furnizor important de expertiză și modele pentru un stat care asumase deja prin PNRR obligația de a-și analiza și restructura sistemul fiscal. Formula potrivit căreia Banca Mondială reprezintă „creierul tehnic” poate fi utilizată ca ipoteză explicativă numai în măsura în care este însoțită de această delimitare. Instituția contribuie la proiectarea tehnică a unor reforme, dar decizia politică de adoptare și răspunderea juridică pentru actul fiscal rămân ale autorităților române.</w:t>
      </w:r>
    </w:p>
    <w:p w14:paraId="5ED76330" w14:textId="77777777" w:rsidR="00B81F1C" w:rsidRPr="007873B4" w:rsidRDefault="00B81F1C" w:rsidP="00B81F1C">
      <w:pPr>
        <w:numPr>
          <w:ilvl w:val="0"/>
          <w:numId w:val="4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și OG nr. 16/2022. Prima transpunere fiscală majoră a noilor angajamente</w:t>
      </w:r>
    </w:p>
    <w:p w14:paraId="080513B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Numirea lui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reprezentant PSD, la conducerea Ministerului Finanțelor permite observarea efectului de continuitate al PNRR după schimbarea formulei politice care îl negociase. Reforma fiscală nu mai este executată de ministrul care participase la negocierea din 2021, iar USR nu mai face parte din Guvern. Cu toate acestea, angajamentele asumate de stat continuă să producă efecte.</w:t>
      </w:r>
    </w:p>
    <w:p w14:paraId="45D2F15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reprezintă una dintre cele mai importante intervenții asupra Codului fiscal din această etapă. În domeniul microîntreprinderilor, plafonul este redus de la un milion euro la 500.000 euro, iar regimul este restrâns prin introducerea unor condiții suplimentare. Această măsură are o legătură directă cu jalonul 206, care impunea reducerea graduală a sferei regimului special pentru microîntreprinderi.</w:t>
      </w:r>
    </w:p>
    <w:p w14:paraId="4881222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același pachet apar însă și măsuri pentru care atribuirea trebuie făcută diferit. Impozitul pe dividende este majorat de la 5 la 8 la sută. Materialul analizat nu identifică un jalon PNRR care să stabilească expres această cotă. Existența obiectivului general privind reducerea stimulentelor și creșterea veniturilor fiscale poate explica mediul în care este adoptată măsura, dar nivelul de 8 la sută reprezintă o alegere legislativă românească în absența unui document care să demonstreze că această cotă fusese impusă din exterior.</w:t>
      </w:r>
    </w:p>
    <w:p w14:paraId="1D07BE3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Aceeași metodă trebuie aplicată celorlalte modificări privind contribuțiile sociale, TVA, </w:t>
      </w:r>
      <w:proofErr w:type="spellStart"/>
      <w:r w:rsidRPr="007873B4">
        <w:rPr>
          <w:rFonts w:ascii="Times New Roman" w:eastAsia="Times New Roman" w:hAnsi="Times New Roman" w:cs="Times New Roman"/>
          <w:kern w:val="0"/>
          <w:lang w:val="ro-RO"/>
          <w14:ligatures w14:val="none"/>
        </w:rPr>
        <w:t>HoReCa</w:t>
      </w:r>
      <w:proofErr w:type="spellEnd"/>
      <w:r w:rsidRPr="007873B4">
        <w:rPr>
          <w:rFonts w:ascii="Times New Roman" w:eastAsia="Times New Roman" w:hAnsi="Times New Roman" w:cs="Times New Roman"/>
          <w:kern w:val="0"/>
          <w:lang w:val="ro-RO"/>
          <w14:ligatures w14:val="none"/>
        </w:rPr>
        <w:t xml:space="preserve"> și impozitarea proprietății. Unele răspund direct angajamentelor PNRR, altele se înscriu în direcția generală de lărgire a bazei fiscale, iar altele reprezintă opțiuni naționale privind modalitatea de realizare a veniturilor.</w:t>
      </w:r>
    </w:p>
    <w:p w14:paraId="4D19C0A3"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 xml:space="preserve">Acest caz demonstrează utilitatea separării dintre autorul direcției și autorul instrumentului. Comisia și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negociaseră reducerea regimului microîntreprinderilor. Guvernul din care face parte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stabilește prin OG nr. 16/2022 plafonul concret de 500.000 euro și celelalte condiții. Pentru dividende, în lipsa unui angajament european care să prevadă cota, responsabilitatea pentru nivelul de 8 la sută aparține autorităților române care au adoptat actul.</w:t>
      </w:r>
    </w:p>
    <w:p w14:paraId="700019E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Continuitatea dintre două guverne politice diferite nu demonstrează existența unui centru unic care controlează politica fiscală românească, dar demonstrează eficiența angajamentelor multianuale în limitarea discontinuității politice. Guvernul nou poate modifica instrumentele, însă nu poate ignora fără consecințe obligațiile asumate de stat în cadrul planului pentru care dorește în continuare finanțarea.</w:t>
      </w:r>
    </w:p>
    <w:p w14:paraId="4EEFD52B" w14:textId="77777777" w:rsidR="00B81F1C" w:rsidRPr="007873B4" w:rsidRDefault="00B81F1C" w:rsidP="00B81F1C">
      <w:pPr>
        <w:numPr>
          <w:ilvl w:val="0"/>
          <w:numId w:val="4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și accelerarea reformei fiscale în perioada 2023–2024</w:t>
      </w:r>
    </w:p>
    <w:p w14:paraId="61D1A97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Numirea lui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la conducerea Ministerului Finanțelor în iunie 2023 deschide o etapă în care reforma fiscală asociată PNRR se suprapune tot mai evident peste necesitatea consolidării bugetare. Legea nr. 296/2023 și OUG nr. 115/2023 continuă modificarea regimului microîntreprinderilor, a facilităților fiscale, a contribuțiilor și a altor componente ale sistemului, iar digitalizarea administrației fiscale este accelerată.</w:t>
      </w:r>
    </w:p>
    <w:p w14:paraId="435F01B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materia microîntreprinderilor, Legea nr. 296/2023 introduce o structură mai restrictivă și sistemul cotelor de 1 și 3 la sută, cu pragul de 60.000 euro relevant pentru aplicarea cotei majorate și cu reguli suplimentare privind activitățile desfășurate. OUG nr. 115/2023 continuă ajustările regimului. Aceste intervenții se înscriu direct în procesul prevăzut de jalonul 206 privind reducerea graduală a sferei regimului special. Comisia Europeană va include actele respective între instrumentele legislative relevante pentru realizarea jalonului.</w:t>
      </w:r>
    </w:p>
    <w:p w14:paraId="2ED187E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 intervine și asupra facilităților fiscale, inclusiv asupra celor din construcții. În această materie există o legătură directă cu jalonul 208. În același timp, pachetul privește și alte categorii profesionale și sectoare, ceea ce impune delimitarea între obligația PNRR privind construcțiile și alegerile naționale prin care reforma este extinsă sau configurată.</w:t>
      </w:r>
    </w:p>
    <w:p w14:paraId="375741C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Perioada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este importantă și pentru accelerarea digitalizării fiscale. RO e-Factura, raportările electronice și infrastructura informatică a administrației fiscale sunt dezvoltate într-un cadru în care digitalizarea ANAF fusese deja prevăzută în PNRR. Trebuie păstrată însă distincția stabilită anterior în cazul e-Factura. România solicitase ea însăși autorizarea europeană necesară introducerii facturării electronice obligatorii B2B. Decizia Consiliului din 25 iulie 2023 consemnează că solicitarea României fusese înregistrată prin scrisoarea din 14 ianuarie 2022. În acest caz, instituția europeană autorizează o măsură solicitată de statul român, ceea ce exclude prezentarea corectă a obligativității drept simplu ordin venit de la Bruxelles.</w:t>
      </w:r>
    </w:p>
    <w:p w14:paraId="2983EE4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perioada 2023–2024 devine tot mai vizibilă suprapunerea dintre două motive ale reformei fiscale. Primul este executarea jaloanelor PNRR asumate în 2021. Al doilea este deteriorarea situației bugetare și necesitatea reducerii deficitului. Cele două nu trebuie confundate. O măsură poate contribui simultan la un jalon și la creșterea veniturilor bugetare, dar justificarea europeană și responsabilitatea pentru soluția concretă trebuie stabilite separat.</w:t>
      </w:r>
    </w:p>
    <w:p w14:paraId="4558D1F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 xml:space="preserve">Această perioadă confirmă și caracterul transpartinic al procesului. PNL participase la negocierea inițială prin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și Ministerul Finanțelor condus de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PSD, prin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adoptase OG nr. 16/2022. PNL, prin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continuă reforma în 2023–2024. Schimbarea titularului Ministerului Finanțelor și alternanța dintre partide nu întrerup direcția generală, iar acest fapt va deveni și mai evident la sfârșitul anului 2024, când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reprezentant UDMR, preia Ministerul Finanțelor și adoptă OUG nr. 156/2024.</w:t>
      </w:r>
    </w:p>
    <w:p w14:paraId="7B7CB99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acel moment, analiza nu mai poate fi limitată la PNRR. Procedura de deficit excesiv și noul cadru fiscal european încep să determine tot mai puternic rezultatul bugetar pe care România trebuie să îl realizeze, iar problema responsabilității se mută gradual de la întrebarea dacă o anumită reformă fusese prevăzută într-un jalon la întrebarea cine stabilește necesarul de ajustare și cine decide asupra contribuabililor care vor suporta costul acesteia.</w:t>
      </w:r>
    </w:p>
    <w:p w14:paraId="121F4D5D" w14:textId="77777777" w:rsidR="00B81F1C" w:rsidRPr="007873B4" w:rsidRDefault="00B81F1C" w:rsidP="00B81F1C">
      <w:pPr>
        <w:numPr>
          <w:ilvl w:val="0"/>
          <w:numId w:val="45"/>
        </w:numPr>
        <w:spacing w:before="100" w:beforeAutospacing="1" w:after="100" w:afterAutospacing="1"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și OUG nr. 156/2024. Continuitatea reformei după schimbarea ministrului și a partidului</w:t>
      </w:r>
    </w:p>
    <w:p w14:paraId="55E7ACA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Preluarea Ministerului Finanțelor de către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reprezentant UDMR, la sfârșitul anului 2024 oferă un nou exemplu al continuității reformei fiscale dincolo de identitatea partidului care deține portofoliul. OUG nr. 156/2024 continuă restructurarea regimului microîntreprinderilor, elimină sau restrânge facilități fiscale și majorează impozitul pe dividende de la 8 la 10 la sută. Documentul reprezintă astfel o nouă etapă în aceeași succesiune legislativă începută prin OG nr. 16/2022 și continuată prin Legea nr. 296/2023 și OUG nr. 115/2023.</w:t>
      </w:r>
    </w:p>
    <w:p w14:paraId="33D80BB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cazul microîntreprinderilor, legătura cu PNRR rămâne directă. OUG nr. 156/2024 conduce regimul spre plafonul de 250.000 euro pentru 2025 și spre 100.000 euro începând cu 2026, continuând reducerea începută anterior de la un milion euro la 500.000 euro. Comisia Europeană va considera reducerea suplimentară compatibilă cu direcția asumată prin jalonul 206 și cu recomandările tehnice formulate ulterior asupra regimului microîntreprinderilor.</w:t>
      </w:r>
    </w:p>
    <w:p w14:paraId="02454A8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privința facilităților pentru construcții, există de asemenea o legătură directă cu PNRR, deoarece jalonul 208 prevedea reducerea graduală a stimulentelor fiscale pentru personalul din acest sector. OUG nr. 156/2024 extinde însă intervenția și asupra altor domenii, inclusiv IT, agricultură și industria alimentară. Pentru aceste categorii este necesară păstrarea aceleiași metode de atribuire. Existența unei direcții generale de eliminare a facilităților fiscale și a unui jalon expres pentru construcții nu înseamnă automat că fiecare eliminare concretă, pentru fiecare sector și la fiecare dată, fusese prevăzută textual de instituțiile europene. Partea de decizie națională trebuie menținută acolo unde documentele nu indică o obligație externă mai specifică.</w:t>
      </w:r>
    </w:p>
    <w:p w14:paraId="37493D5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Majorarea impozitului pe dividende de la 8 la 10 la sută trebuie tratată separat. Materialul analizat nu identifică un document european care să stabilească expres cota de 10 la sută. În consecință, această cotă trebuie atribuită deciziei fiscale a autorităților române, chiar dacă măsura contribuie la obiectivul general de creștere a veniturilor și consolidare fiscală.</w:t>
      </w:r>
    </w:p>
    <w:p w14:paraId="0FC2143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Perioada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este relevantă pentru studiul suveranității și dintr-un alt motiv. La acest moment, reforma fiscală nu mai poate fi explicată numai prin jaloanele PNRR. România se află deja sub presiunea corectării deficitului excesiv, iar constrângerile privind rezultatul bugetar </w:t>
      </w:r>
      <w:r w:rsidRPr="007873B4">
        <w:rPr>
          <w:rFonts w:ascii="Times New Roman" w:eastAsia="Times New Roman" w:hAnsi="Times New Roman" w:cs="Times New Roman"/>
          <w:kern w:val="0"/>
          <w:lang w:val="ro-RO"/>
          <w14:ligatures w14:val="none"/>
        </w:rPr>
        <w:lastRenderedPageBreak/>
        <w:t>devin mai importante. Dacă în anii anteriori putea fi urmărită direct legătura dintre un jalon și o anumită reformă, în perioada 2024–2025 începe să domine tot mai mult obligația de a produce venituri suplimentare și de a controla creșterea cheltuielilor.</w:t>
      </w:r>
    </w:p>
    <w:p w14:paraId="238E268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schimbare de accent este importantă. PNRR poate cere reducerea regimului microîntreprinderilor sau eliminarea unor facilități. Procedura de deficit excesiv nu trebuie însă să indice în mod necesar fiecare taxă ce urmează a fi majorată. Ea poate stabili rezultatul fiscal pe care România trebuie să îl atingă, lăsând Guvernului alegerea instrumentelor. Marja de decizie națională rămâne astfel reală, dar este exercitată într-un spațiu bugetar din ce în ce mai restrâns.</w:t>
      </w:r>
    </w:p>
    <w:p w14:paraId="1F6994E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Succesiunea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și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arată că aceeași direcție fiscală generală este executată de miniștri aparținând PSD, PNL și UDMR. Aceasta nu permite concluzia că diferențele dintre partide dispar, dar arată că o parte importantă a politicii fiscale devine independentă de alternanța partidului care administrează Ministerul Finanțelor. Angajamentul statului și necesitatea consolidării bugetare dobândesc o continuitate mai mare decât mandatul individual al ministrului.</w:t>
      </w:r>
    </w:p>
    <w:p w14:paraId="3082967F" w14:textId="77777777" w:rsidR="00B81F1C" w:rsidRPr="007873B4" w:rsidRDefault="00B81F1C" w:rsidP="00B81F1C">
      <w:pPr>
        <w:numPr>
          <w:ilvl w:val="0"/>
          <w:numId w:val="4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Procedura de deficit excesiv și trecerea de la reforma negociată la obligația de rezultat</w:t>
      </w:r>
    </w:p>
    <w:p w14:paraId="1CD4568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Procedura de deficit excesiv introduce în analiza suveranității o formă de constrângere diferită de PNRR. PNRR se întemeiază pe un plan de reforme și investiții negociat de România și aprobat în cadrul mecanismului european de redresare. Procedura de deficit excesiv rezultă din obligațiile asumate de statele membre în cadrul disciplinei fiscale europene și privește corectarea unei situații bugetare considerate incompatibile cu regulile comune.</w:t>
      </w:r>
    </w:p>
    <w:p w14:paraId="19089BC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România se afla deja în procedură de deficit excesiv din anul 2020, iar materialul analizat reține faptul că problema deficitului structural preceda pandemia. PNRR nu creează dezechilibrul bugetar, ci se suprapune peste el și leagă o parte dintre reformele fiscale de finanțarea europeană post-pandemie.</w:t>
      </w:r>
    </w:p>
    <w:p w14:paraId="7A4D5BF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anii următori, dimensiunea deficitului și incapacitatea României de a reveni pe traiectoria convenită determină o creștere a presiunii europene pentru consolidare. În acest context, analiza nu mai poate fi limitată la întrebarea dacă o anumită măsură fiscală figurează într-un jalon PNRR. Devine necesară examinarea obligațiilor privind rezultatul bugetar.</w:t>
      </w:r>
    </w:p>
    <w:p w14:paraId="04CCF1F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Diferența dintre cele două mecanisme este importantă. Dacă jalonul 206 cere reducerea sferei regimului microîntreprinderilor, direcția reformei este determinată în mod relativ precis. Dacă însă Consiliul cere reducerea deficitului sau limitează creșterea cheltuielilor nete, autoritatea națională poate păstra libertatea de a decide ce impozite mărește, ce facilități elimină, ce cheltuieli reduce sau ce baze de impunere extinde. Libertatea de instrument coexistă cu obligația de rezultat.</w:t>
      </w:r>
    </w:p>
    <w:p w14:paraId="456A3F7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În anul 2025, această obligație devine cuantificată. Materialul analizat reține faptul că recomandarea Consiliului din ianuarie 2025 solicita un efect bugetar de cel puțin 1,1 la sută din PIB în 2025, respectiv 1,3 la sută dacă se includea efectul măsurilor asupra pensiilor, precum și </w:t>
      </w:r>
      <w:r w:rsidRPr="007873B4">
        <w:rPr>
          <w:rFonts w:ascii="Times New Roman" w:eastAsia="Times New Roman" w:hAnsi="Times New Roman" w:cs="Times New Roman"/>
          <w:kern w:val="0"/>
          <w:lang w:val="ro-RO"/>
          <w14:ligatures w14:val="none"/>
        </w:rPr>
        <w:lastRenderedPageBreak/>
        <w:t>un efect permanent anualizat de 1,7 la sută din PIB. Autoritățile române trebuiau să elaboreze scenarii de reformă, iar Guvernul să adopte măsurile necesare pentru realizarea rezultatului.</w:t>
      </w:r>
    </w:p>
    <w:p w14:paraId="181138F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modifică natura raportului dintre nivelul european și cel național. În etapa inițială a PNRR, accentul se afla asupra realizării anumitor reforme. În etapa consolidării fiscale, obligația devine tot mai mult exprimată prin efectul bugetar ce trebuie obținut. Guvernul român poate decide modul în care distribuie costul ajustării între consum, capital, muncă, proprietate, întreprinderi și cheltuieli publice, dar nu mai poate ignora obiectivul general fără consecințe asupra relației cu instituțiile europene și asupra credibilității financiare.</w:t>
      </w:r>
    </w:p>
    <w:p w14:paraId="67C3C7F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răspunderii politice, această distincție este esențială. Dacă Uniunea Europeană cere reducerea deficitului cu un anumit efect, iar Guvernul alege majorarea TVA, cota concretă de TVA nu poate fi atribuită automat Bruxelles-ului. Dacă Guvernul preferă creșterea impozitului pe dividende în locul unei reduceri de cheltuieli, responsabilitatea pentru această alegere aparține autorităților române. Cadrul extern restrânge rezultatul posibil, dar distribuirea sarcinii între contribuabili rămâne în mare măsură o decizie politică internă.</w:t>
      </w:r>
    </w:p>
    <w:p w14:paraId="5CDBB70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această etapă se observă una dintre cele mai importante transformări ale suveranității fiscale. Statul păstrează competența formală de a legifera, dar libertatea de a decide dacă ajustează sau nu finanțele publice este redusă de angajamentele europene și de necesitatea finanțării datoriei. Suveranitatea formală nu dispare, însă spațiul efectiv de alegere se îngustează.</w:t>
      </w:r>
    </w:p>
    <w:p w14:paraId="7408A4DC" w14:textId="77777777" w:rsidR="00B81F1C" w:rsidRPr="007873B4" w:rsidRDefault="00B81F1C" w:rsidP="00B81F1C">
      <w:pPr>
        <w:numPr>
          <w:ilvl w:val="0"/>
          <w:numId w:val="4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Anul 2025. De la direcția de reformă la efectul fiscal cuantificat</w:t>
      </w:r>
    </w:p>
    <w:p w14:paraId="0AA983A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Anul 2025 reprezintă o etapă în care cele două mecanisme, PNRR și disciplina fiscală europeană, se suprapun în mod evident. Reformele fiscale asumate anterior continuă, dar asupra lor se adaugă obligația de a realiza o ajustare bugetară cuantificată. Din acest moment, politica fiscală nu mai poate fi analizată exclusiv ca executare a jaloanelor, deoarece multe dintre măsurile adoptate urmăresc simultan creșterea veniturilor bugetare într-un termen scurt.</w:t>
      </w:r>
    </w:p>
    <w:p w14:paraId="242CA81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Materialul analizat arată că reforma microîntreprinderilor continuă să fie urmărită și în planul fiscal-structural, fiind asociată unui efect suplimentar asupra veniturilor de cel puțin 0,1 la sută din PIB. Acest fapt confirmă trecerea de la reformă ca modificare instituțională la reformă evaluată prin efectul său fiscal.</w:t>
      </w:r>
    </w:p>
    <w:p w14:paraId="6038341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Aceeași logică apare în recomandarea Consiliului din ianuarie 2025, unde reforma fiscală este asociată unor efecte exprimate în procente din PIB. Din perspectiva guvernului național, diferența este substanțială. Nu mai este suficientă adoptarea formală a unui act normativ. Măsurile trebuie să producă venituri sau economii compatibile cu traiectoria fiscală convenită.</w:t>
      </w:r>
    </w:p>
    <w:p w14:paraId="6733651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această etapă devine și mai necesară separarea dintre sursa constrângerii și instrumentul fiscal ales. Uniunea Europeană poate solicita o ajustare de o anumită dimensiune. Aceasta nu înseamnă că instituțiile europene au stabilit automat că TVA trebuie să fie 21 la sută, că dividendele trebuie impozitate cu 16 la sută sau că anumite categorii trebuie supuse unei contribuții sociale. Pentru fiecare asemenea măsură trebuie căutat un document distinct care să demonstreze existența obligației concrete.</w:t>
      </w:r>
    </w:p>
    <w:p w14:paraId="39BA248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metodă conduce la o concluzie importantă asupra responsabilității politice. Guvernul nu poate justifica orice măsură nepopulară prin formula generală a obligațiilor europene. Dacă obligația privește rezultatul, alegerea instrumentului rămâne politică. Existența unei constrângeri externe nu elimină responsabilitatea internă pentru modul în care costul ajustării este repartizat între cetățeni și întreprinderi.</w:t>
      </w:r>
    </w:p>
    <w:p w14:paraId="351854F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același timp, libertatea politică internă nu mai este identică cu cea existentă într-un sistem fără asemenea angajamente. Guvernul poate alege între diferite combinații fiscale, dar nu poate alege cu aceeași ușurință menținerea deficitului la nivelul anterior fără a suporta consecințe privind procedura europeană, finanțarea, ratingul, costul datoriei sau relația cu creditorii. Din acest motiv, politica fiscală din 2025 trebuie analizată simultan prin prisma deciziei naționale și a constrângerii externe.</w:t>
      </w:r>
    </w:p>
    <w:p w14:paraId="017F6BBC" w14:textId="77777777" w:rsidR="00B81F1C" w:rsidRPr="007873B4" w:rsidRDefault="00B81F1C" w:rsidP="00B81F1C">
      <w:pPr>
        <w:numPr>
          <w:ilvl w:val="0"/>
          <w:numId w:val="48"/>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și fiscalitatea anilor 2025–2026</w:t>
      </w:r>
    </w:p>
    <w:p w14:paraId="1054B80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Revenirea lui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la conducerea Ministerului Finanțelor în anul 2025 are o semnificație specială în cronologia prezentului studiu.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fusese ministru al Finanțelor în etapa negocierii PNRR din 2021 și revine într-un moment în care angajamentele asumate atunci se suprapun peste procedura de deficit excesiv și planul fiscal-structural. Continuitatea personală se adaugă astfel continuității instituționale.</w:t>
      </w:r>
    </w:p>
    <w:p w14:paraId="1D24CF3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 introduce unele dintre cele mai importante modificări fiscale ale perioadei. Cota standard de TVA este majorată de la 19 la 21 la sută, sistemul cotelor reduse este restructurat, iar impozitul pe dividende este stabilit la 16 la sută pentru distribuiri începând cu anul 2026. Sunt introduse sau extinse și măsuri privind contribuțiile sociale și alte componente ale sistemului fiscal.</w:t>
      </w:r>
    </w:p>
    <w:p w14:paraId="282F55A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privința TVA, materialul analizat indică limpede distincția dintre obligația europeană și alegerea națională. Consiliul cere României corectarea deficitului și fixează traiectoria fiscală, dar documentele analizate nu prescriu textual o cotă standard de TVA de 21 la sută. Majorarea trebuie, prin urmare, calificată ca instrument ales de autoritățile române pentru realizarea ajustării fiscale cerute.</w:t>
      </w:r>
    </w:p>
    <w:p w14:paraId="3AF6AF5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Aceeași concluzie se aplică majorării impozitului pe dividende la 16 la sută. Materialul analizat nu identifică o cerință europeană care să stabilească această cotă. Obiectivul general de creștere a veniturilor și reducere a deficitului poate explica contextul în care măsura este adoptată, dar alegerea cotei concrete aparține legiuitorului și Guvernului român.</w:t>
      </w:r>
    </w:p>
    <w:p w14:paraId="24B27F5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239/2025, OUG nr. 89/2025 și OUG nr. 7 și nr. 8/2026 continuă succesiunea modificărilor. Sunt vizate Codul fiscal, Codul de procedură fiscală, impozitarea profitului, microîntreprinderile, veniturile, accizele, contribuțiile, e-Factura și alte componente ale administrării fiscale. Intensitatea legislativă confirmă că perioada nu reprezintă o ajustare punctuală, ci continuarea unui proces de restructurare început cu câțiva ani înainte.</w:t>
      </w:r>
    </w:p>
    <w:p w14:paraId="6ECC8BE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Privită în ansamblu, perioada 2021–2026 permite observarea unei continuități personale și politice neobișnuite.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participă la etapa inițială a negocierii PNRR în 2021 și </w:t>
      </w:r>
      <w:r w:rsidRPr="007873B4">
        <w:rPr>
          <w:rFonts w:ascii="Times New Roman" w:eastAsia="Times New Roman" w:hAnsi="Times New Roman" w:cs="Times New Roman"/>
          <w:kern w:val="0"/>
          <w:lang w:val="ro-RO"/>
          <w14:ligatures w14:val="none"/>
        </w:rPr>
        <w:lastRenderedPageBreak/>
        <w:t xml:space="preserve">revine în 2025 pentru administrarea unei etape în care politica fiscală este deja condiționată de planul negociat anterior și de deficitul excesiv. Între cele două mandate,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și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adoptă succesiv măsuri care duc în aceeași direcție generală.</w:t>
      </w:r>
    </w:p>
    <w:p w14:paraId="381F8EC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continuitate nu justifică atribuirea tuturor măsurilor unui singur centru de decizie, dar confirmă caracterul multianual al reformei. Guvernele se schimbă, partidele alternează la Ministerul Finanțelor, însă sistemul fiscal continuă să fie modificat în jurul acelorași teme, lărgirea bazei, reducerea facilităților, restrângerea regimului micro, digitalizarea, impozitarea proprietății și creșterea veniturilor.</w:t>
      </w:r>
    </w:p>
    <w:p w14:paraId="2DB475B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contribuabil, distincția dintre obligația europeană și alegerea națională rămâne esențială. Fără această separare, răspunderea politică devine imposibil de identificat, iar orice creștere de taxă poate fi justificată printr-o trimitere generică la Bruxelles, chiar și atunci când autoritatea europeană a cerut numai un rezultat bugetar, nu metoda prin care acesta trebuie obținut.</w:t>
      </w:r>
    </w:p>
    <w:p w14:paraId="7F1544D2" w14:textId="77777777" w:rsidR="00B81F1C" w:rsidRPr="007873B4" w:rsidRDefault="00B81F1C" w:rsidP="00B81F1C">
      <w:pPr>
        <w:numPr>
          <w:ilvl w:val="0"/>
          <w:numId w:val="4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Digitalizarea fiscală și transformarea raportului dintre administrație și contribuabil</w:t>
      </w:r>
    </w:p>
    <w:p w14:paraId="6DFE2DD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Digitalizarea administrației fiscale este una dintre componentele care traversează aproape întreaga perioadă analizată și care leagă reforma fiscală de obiectivele mai largi privind modernizarea administrației și economia digitală. PNRR include digitalizarea ANAF, iar legislația ulterioară extinde semnificativ obligațiile de raportare electronică și infrastructura de colectare și verificare a datelor.</w:t>
      </w:r>
    </w:p>
    <w:p w14:paraId="4B316D3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 e-Factura reprezintă unul dintre cele mai importante exemple. OUG nr. 120/2021 creează cadrul sistemului, iar obligativitatea este extinsă ulterior. Documentele europene arată că România însăși a solicitat derogarea de la regulile TVA necesară pentru introducerea facturării electronice obligatorii B2B, solicitarea fiind înregistrată de Comisie în ianuarie 2022. Consiliul a autorizat derogarea în 2023.</w:t>
      </w:r>
    </w:p>
    <w:p w14:paraId="4236D3C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caz are o valoare metodologică importantă. Existența unei decizii a Consiliului nu dovedește că obligația e-Factura a fost impusă de Bruxelles. Dimpotrivă, documentul arată că România a solicitat posibilitatea de a introduce măsura, iar Uniunea a autorizat derogarea necesară. Responsabilitatea pentru alegerea sistemului aparține astfel autorităților române, chiar dacă funcționarea lui trebuie să respecte cadrul european în materia TVA.</w:t>
      </w:r>
    </w:p>
    <w:p w14:paraId="4C67777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Digitalizarea modifică însă profund capacitatea administrației fiscale. Factura electronică, raportările standardizate, interconectarea bazelor de date și automatizarea controalelor reduc distanța informațională dintre contribuabil și autoritatea fiscală. Operațiuni care anterior puteau fi verificate numai prin inspecție sau solicitare punctuală devin accesibile în timp real sau aproape în timp real.</w:t>
      </w:r>
    </w:p>
    <w:p w14:paraId="385F324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eficienței administrative, avantajul este evident. Crește capacitatea de identificare a neconformării, se reduc anumite costuri de administrare, iar verificările pot utiliza volume de date imposibil de procesat manual. Din perspectiva raportului dintre individ și stat, aceeași infrastructură crește simultan capacitatea de monitorizare a activității economice.</w:t>
      </w:r>
    </w:p>
    <w:p w14:paraId="3719898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Această dublă natură a digitalizării trebuie păstrată în analiza suveranității și libertății individuale. Tehnologia nu este prin ea însăși un instrument de control abuziv și nici prin ea însăși o garanție a unei administrații corecte. Efectul depinde de limitele juridice, de protecția datelor, de transparența algoritmilor, de posibilitatea contestării deciziilor și de proporționalitatea informațiilor colectate.</w:t>
      </w:r>
    </w:p>
    <w:p w14:paraId="69BE5D9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Legătura cu Agenda 2030 și Digital Decade trebuie de asemenea formulată cu precizie. Existența unor obiective globale și europene de digitalizare creează mediul politic și financiar favorabil dezvoltării sistemelor digitale, dar nu înseamnă că fiecare obligație de raportare din România este stabilită la nivel global sau european. Cazul e-Factura demonstrează exact contrariul, o autoritate națională poate utiliza cadrul european pentru a introduce un sistem pe care ea însăși îl consideră necesar.</w:t>
      </w:r>
    </w:p>
    <w:p w14:paraId="4719E16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această etapă, problema controlului statului asupra individului trebuie analizată prin acumularea infrastructurilor. O obligație electronică singulară poate avea o justificare administrativă evidentă. Interconectarea succesivă a facturării, proprietății, conturilor, raportărilor fiscale și altor baze de date poate produce însă o capacitate de observare și analiză pe care statul tradițional nu o avea.</w:t>
      </w:r>
    </w:p>
    <w:p w14:paraId="46E9A51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nu trebuie calificată anticipat drept „sclavie modernă”, dar trebuie inclusă în analiza mai largă asupra modului în care digitalizarea modifică raportul de putere dintre administrație și cetățean. Problema relevantă nu este numai cât de multe date poate colecta statul, ci cine stabilește limitele utilizării lor, ce drepturi are persoana asupra informațiilor, în ce măsură o decizie automatizată poate fi contestată și dacă dezvoltarea tehnologică este însoțită de o dezvoltare echivalentă a garanțiilor juridice.</w:t>
      </w:r>
    </w:p>
    <w:p w14:paraId="0C6FD17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componentă va deveni și mai importantă în analiza impozitării proprietății, deoarece proiectul de evaluare în masă presupune exact combinarea registrelor de tranzacții, a valorilor de piață și a interoperabilității bazelor de date pentru stabilirea unei valori fiscale individuale.</w:t>
      </w:r>
    </w:p>
    <w:p w14:paraId="087099F5" w14:textId="77777777" w:rsidR="00B81F1C" w:rsidRPr="007873B4" w:rsidRDefault="00B81F1C" w:rsidP="00B81F1C">
      <w:pPr>
        <w:numPr>
          <w:ilvl w:val="0"/>
          <w:numId w:val="5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Proprietatea, evaluarea în masă și transferul modelului tehnic în fiscalitatea națională</w:t>
      </w:r>
    </w:p>
    <w:p w14:paraId="62CF0D1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Impozitarea proprietății reprezintă unul dintre domeniile în care poate fi urmărit cel mai clar transferul unei concepții tehnice de la nivelul expertizei internaționale către politica fiscală națională. În această materie, analiza nu se rezumă la o simplă majorare de cotă, ci privește însăși modalitatea prin care statul stabilește baza impozabilă și infrastructura informațională necesară pentru această operațiune.</w:t>
      </w:r>
    </w:p>
    <w:p w14:paraId="3C370BD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Contractul încheiat de Ministerul Finanțelor cu Banca Mondială în contextul PNRR nu avea ca obiect numai analiza generală a sistemului fiscal, ci și dezvoltarea unui sistem automatizat de evaluare în masă a proprietăților, bazat pe valori de piață, registre de tranzacții și interoperabilitatea bazelor de date. Scopul declarat era modernizarea administrării impozitelor pe proprietate și creșterea eficienței colectării.</w:t>
      </w:r>
    </w:p>
    <w:p w14:paraId="26CD3B8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arhitectură este importantă deoarece modifică raportul tradițional dintre proprietate și fiscalitate. Într-un sistem bazat pe valori administrative stabilite prin grile relativ rigide, </w:t>
      </w:r>
      <w:r w:rsidRPr="007873B4">
        <w:rPr>
          <w:rFonts w:ascii="Times New Roman" w:eastAsia="Times New Roman" w:hAnsi="Times New Roman" w:cs="Times New Roman"/>
          <w:kern w:val="0"/>
          <w:lang w:val="ro-RO"/>
          <w14:ligatures w14:val="none"/>
        </w:rPr>
        <w:lastRenderedPageBreak/>
        <w:t>impozitarea proprietății are un grad ridicat de stabilitate și predictibilitate. Într-un sistem bazat pe valori de piață și evaluare automatizată, baza impozabilă devine mai sensibilă la dinamica tranzacțiilor, la localizare, la caracteristicile proprietății și la informațiile disponibile în bazele de date.</w:t>
      </w:r>
    </w:p>
    <w:p w14:paraId="2A7255E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eficienței economice, argumentul este ușor de înțeles. O proprietate cu valoare de piață ridicată poate fi impozitată mai aproape de capacitatea economică asociată deținerii ei, iar diferențele mari dintre valori administrative și valori reale pot fi reduse. Din perspectiva proprietarului, însă, schimbarea are o semnificație mai amplă, deoarece sarcina fiscală devine dependentă de o evaluare produsă printr-un sistem în care datele de piață și algoritmii de evaluare dobândesc un rol esențial.</w:t>
      </w:r>
    </w:p>
    <w:p w14:paraId="7F567C4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se înscrie într-o direcție mai veche decât PNRR. Materialul analizat reține că Banca Mondială recomandase României și anterior reformarea impozitării proprietății și observase nivelul redus al veniturilor obținute din această sursă în comparație cu media europeană. Ulterior, aceeași arhitectură a evaluării în masă reapare în documentele privind reforma fiscală și în recomandările europene.</w:t>
      </w:r>
    </w:p>
    <w:p w14:paraId="33EA5ED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această materie, noțiunea de transfer de model tehnic este mai adecvată decât aceea de impunere directă. Banca Mondială furnizează analiza și modelul, instituțiile europene includ reforma proprietății în cadrul mai larg al restructurării fiscale, iar Guvernul României are responsabilitatea transpunerii în legislație. Fiecare nivel contribuie diferit la rezultatul final.</w:t>
      </w:r>
    </w:p>
    <w:p w14:paraId="4145875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Importanța pentru tema suveranității rezultă din faptul că proprietatea este una dintre cele mai sensibile componente ale libertății economice individuale. Modificarea modului de evaluare fiscală nu este o simplă operațiune tehnică atunci când produce efecte semnificative asupra costului anual al deținerii. Dacă valoarea fiscală este actualizată automat pe baza pieței, proprietarul poate suporta o creștere a impozitului chiar în absența unei creșteri corespunzătoare a venitului său disponibil.</w:t>
      </w:r>
    </w:p>
    <w:p w14:paraId="2367078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problemă este deosebit de relevantă în cazul persoanelor care dețin proprietăți dobândite în perioade anterioare, la costuri reduse, dar care locuiesc în zone în care valoarea de piață a crescut foarte mult. Creșterea valorii activului nu înseamnă automat existența unui flux monetar suplimentar, iar fiscalitatea bazată pe valoarea de piață poate produce o tensiune între patrimoniu și lichiditate.</w:t>
      </w:r>
    </w:p>
    <w:p w14:paraId="429797F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acest motiv, reforma impozitării proprietății trebuie analizată nu numai prin prisma eficienței bugetare, ci și prin prisma protecției proprietății, predictibilității fiscale și proporționalității sarcinii. În absența acestor garanții, un sistem tehnic sofisticat poate transforma simpla deținere într-o obligație fiscală progresiv mai greu de suportat pentru anumite categorii de proprietari.</w:t>
      </w:r>
    </w:p>
    <w:p w14:paraId="4CAE7A42" w14:textId="77777777" w:rsidR="00B81F1C" w:rsidRPr="007873B4" w:rsidRDefault="00B81F1C" w:rsidP="00B81F1C">
      <w:pPr>
        <w:numPr>
          <w:ilvl w:val="0"/>
          <w:numId w:val="5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Continuitatea politică 2021–2026 și reducerea diferențelor dintre alternanțele de partid</w:t>
      </w:r>
    </w:p>
    <w:p w14:paraId="5C951C6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Succesiunea miniștrilor și actelor fiscale analizate între 2021 și 2026 arată o continuitate care traversează mai multe formule politice.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susținut de PNL–USR–UDMR, negociază PNRR și acceptă reforma fiscală care va fi structurată prin jaloanele 205–208. Adrian </w:t>
      </w:r>
      <w:proofErr w:type="spellStart"/>
      <w:r w:rsidRPr="007873B4">
        <w:rPr>
          <w:rFonts w:ascii="Times New Roman" w:eastAsia="Times New Roman" w:hAnsi="Times New Roman" w:cs="Times New Roman"/>
          <w:kern w:val="0"/>
          <w:lang w:val="ro-RO"/>
          <w14:ligatures w14:val="none"/>
        </w:rPr>
        <w:lastRenderedPageBreak/>
        <w:t>Câciu</w:t>
      </w:r>
      <w:proofErr w:type="spellEnd"/>
      <w:r w:rsidRPr="007873B4">
        <w:rPr>
          <w:rFonts w:ascii="Times New Roman" w:eastAsia="Times New Roman" w:hAnsi="Times New Roman" w:cs="Times New Roman"/>
          <w:kern w:val="0"/>
          <w:lang w:val="ro-RO"/>
          <w14:ligatures w14:val="none"/>
        </w:rPr>
        <w:t xml:space="preserve">, ministru PSD, adoptă OG nr. 16/2022 și începe transpunerea fiscală majoră.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ministru PNL, continuă prin Legea nr. 296/2023 și OUG nr. 115/2023.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reprezentant UDMR, adoptă OUG nr. 156/2024, iar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 revine la Ministerul Finanțelor în etapa în care PNRR se suprapune peste procedura de deficit excesiv și planul fiscal-structural.</w:t>
      </w:r>
    </w:p>
    <w:p w14:paraId="5F6F80D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succesiune nu înseamnă că toate partidele au avut politici fiscale identice și nici că diferențele doctrinare au dispărut complet. Ea arată însă că, în domeniile legate de angajamentele multianuale și de consolidarea fiscală, spațiul de divergență este redus de existența unor obiective deja asumate.</w:t>
      </w:r>
    </w:p>
    <w:p w14:paraId="53AFC29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perspectiva alegătorului, aceasta produce o situație particulară. Schimbarea partidului care deține Ministerul Finanțelor poate modifica ritmul, distribuția sarcinii sau instrumentele utilizate, dar nu determină automat renunțarea la direcția generală a reformei. Microîntreprinderile sunt restrânse succesiv sub miniștri din partide diferite, facilitățile sunt reduse sau eliminate treptat, iar sistemul fiscal este digitalizat indiferent de schimbarea coaliției.</w:t>
      </w:r>
    </w:p>
    <w:p w14:paraId="18C974C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continuitate este explicabilă juridic prin caracterul obligațiilor asumate de stat și economic prin necesitatea finanțării deficitului. Ea are însă consecințe asupra mecanismului democratic, deoarece diferența dintre programele electorale și politica fiscală efectivă poate deveni mai mică decât s-ar presupune din alternanța politică.</w:t>
      </w:r>
    </w:p>
    <w:p w14:paraId="0390A55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Într-un sistem clasic, alegătorul poate sancționa o politică fiscală și poate susține un partid care promite o direcție diferită. Într-un sistem cu angajamente supranaționale și condiționalități financiare, noul partid poate prelua guvernarea și poate constata că o parte importantă a direcției nu mai este disponibilă pentru renegociere fără costuri semnificative.</w:t>
      </w:r>
    </w:p>
    <w:p w14:paraId="5F22FDC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Aceasta nu anulează democrația, dar modifică obiectul efectiv al alegerii. Electoratul poate decide mai ușor asupra modului de distribuire a ajustării decât asupra existenței ajustării în sine, atunci când rezultatul fiscal este deja condiționat.</w:t>
      </w:r>
    </w:p>
    <w:p w14:paraId="5C6E7D9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Tocmai această distincție va deveni importantă în analiza poziției lui Nicușor Dan din 2025–2026. În discursul prezidențial, menținerea direcției prooccidentale și a traiectoriei financiare începe să fie prezentată ca o condiție a continuității guvernării, ceea ce ridică întrebarea dacă alternanța politică mai privește și direcția strategică sau doar modul de administrare a unei direcții deja stabilite.</w:t>
      </w:r>
    </w:p>
    <w:p w14:paraId="15D573A2" w14:textId="77777777" w:rsidR="00B81F1C" w:rsidRPr="007873B4" w:rsidRDefault="00B81F1C" w:rsidP="00B81F1C">
      <w:pPr>
        <w:numPr>
          <w:ilvl w:val="0"/>
          <w:numId w:val="5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Nicușor Dan, alegerile din 2025 și formarea unei majorități autodefinite prooccidentale</w:t>
      </w:r>
    </w:p>
    <w:p w14:paraId="38C1DCE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Alegerile prezidențiale din 2025 trebuie analizate în continuarea evoluției politice descrise anterior, nu ca moment izolat. Nicușor Dan intră în competiție după o carieră civică și politică de peste un deceniu, după construirea unei formațiuni parlamentare și după două victorii pentru Primăria Capitalei. Anularea scrutinului prezidențial din 2024 și reorganizarea alegerilor creează cadrul imediat în care candidatura sa devine una dintre principalele opțiuni electorale.</w:t>
      </w:r>
    </w:p>
    <w:p w14:paraId="0044559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După câștigarea Președinției, Nicușor Dan utilizează frecvent noțiunea de direcție prooccidentală pentru definirea formulei de guvernare pe care o consideră compatibilă cu mandatul său. Materialul analizat consemnează că în campanie el discutase deja despre o majoritate formată din PSD, PNL, USR și UDMR, iar după alegeri aceeași formulă este utilizată pentru constituirea guvernului.</w:t>
      </w:r>
    </w:p>
    <w:p w14:paraId="5894939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La 20 iunie 2025 îl desemnează pe Ilie </w:t>
      </w:r>
      <w:proofErr w:type="spellStart"/>
      <w:r w:rsidRPr="007873B4">
        <w:rPr>
          <w:rFonts w:ascii="Times New Roman" w:eastAsia="Times New Roman" w:hAnsi="Times New Roman" w:cs="Times New Roman"/>
          <w:kern w:val="0"/>
          <w:lang w:val="ro-RO"/>
          <w14:ligatures w14:val="none"/>
        </w:rPr>
        <w:t>Bolojan</w:t>
      </w:r>
      <w:proofErr w:type="spellEnd"/>
      <w:r w:rsidRPr="007873B4">
        <w:rPr>
          <w:rFonts w:ascii="Times New Roman" w:eastAsia="Times New Roman" w:hAnsi="Times New Roman" w:cs="Times New Roman"/>
          <w:kern w:val="0"/>
          <w:lang w:val="ro-RO"/>
          <w14:ligatures w14:val="none"/>
        </w:rPr>
        <w:t xml:space="preserve"> pentru funcția de prim-ministru, iar la 23 iunie este numit Guvernul susținut de PSD, PNL, USR și UDMR. Documentul politic semnat de partidele participante poartă chiar denumirea de acord de formare a unei coaliții politice de guvernare prooccidentale pentru perioada 2025–2028.</w:t>
      </w:r>
    </w:p>
    <w:p w14:paraId="56EEECD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terminologie este relevantă pentru prezentul studiu deoarece noțiunea de prooccidental depășește domeniul strict al politicii externe. În negocierile privind noul guvern, deficitul bugetar, PNRR și măsurile fiscale necesare sunt discutate simultan cu formula politică a coaliției. Nicușor Dan declară că România promisese anterior Comisiei anumite măsuri și că noua majoritate trebuia să adopte rapid actele normative necesare pentru corectarea situației.</w:t>
      </w:r>
    </w:p>
    <w:p w14:paraId="2701967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Legătura dintre orientarea geopolitică și continuitatea economică este astfel introdusă în discursul prezidențial. O majoritate prooccidentală nu este prezentată numai ca majoritate favorabilă UE, NATO și relației cu Statele Unite, ci și ca structură capabilă să continue angajamentele economice și financiare ale statului.</w:t>
      </w:r>
    </w:p>
    <w:p w14:paraId="02F5B48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asociere trebuie însă interpretată cu precizie. Din documentele analizate nu rezultă că instituțiile occidentale ar fi impus nominal persoana lui Nicușor Dan sau componența guvernului. Formarea Guvernului se desfășoară în cadrul constituțional românesc, prin desemnarea prim-ministrului și acordarea votului Parlamentului. Ceea ce poate fi demonstrat este existența unei convergențe între orientarea politică declarată a noii majorități și obligațiile economice externe pe care aceasta se angajează să le continue.</w:t>
      </w:r>
    </w:p>
    <w:p w14:paraId="271ACD4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teza mai amplă privind ascensiunea lui Nicușor Dan, analiza nu se poate opri aici. Trebuie urmărite distinct finanțările campaniei, sprijinul politic, susținerea civică, poziționarea mass-media și eventualele intervenții sau preferințe exprimate de actori externi. Fără această cercetare nu poate fi demonstrată afirmația că președintele ar fi fost „impus României”. Poate fi însă demonstrată existența unei evoluții politice îndelungate și faptul că, odată ajuns la Președinție, el se poziționează explicit ca garant al continuității orientării prooccidentale și al respectării angajamentelor externe.</w:t>
      </w:r>
    </w:p>
    <w:p w14:paraId="4A42AFEF" w14:textId="77777777" w:rsidR="00B81F1C" w:rsidRPr="007873B4" w:rsidRDefault="00B81F1C" w:rsidP="00B81F1C">
      <w:pPr>
        <w:numPr>
          <w:ilvl w:val="0"/>
          <w:numId w:val="5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Nicușor Dan în 2026 și continuitatea guvernării în raport cu finanțatorii și traiectoria fiscală</w:t>
      </w:r>
    </w:p>
    <w:p w14:paraId="7B642DB3"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Rolul lui Nicușor Dan devine și mai important în anul 2026, atunci când problema formării unui nou guvern readuce în discuție criteriile pe care președintele le consideră esențiale pentru desemnarea premierului. Materialul analizat consemnează declarațiile sale din septembrie și octombrie 2026, în care menține simultan trei repere, direcția prooccidentală, respectarea angajamentelor financiare asumate de România și păstrarea traiectoriei fiscale.</w:t>
      </w:r>
    </w:p>
    <w:p w14:paraId="4D3A2FF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La desemnarea lui Siegfried Mureșan, Nicușor Dan leagă într-o formulare comună traseul prooccidental, obligațiile asumate de România, traiectoria fiscală și relația cu finanțatorii. Ulterior, în contextul noilor consultări pentru desemnarea unui premier, reafirmă că România trebuie să își păstreze direcția prooccidentală și angajamentele financiare. Materialul consemnează și afirmația potrivit căreia o participare a AUR la guvernare ar afecta relația cu partenerii României, atât în domeniul securității, cât și în cel european.</w:t>
      </w:r>
    </w:p>
    <w:p w14:paraId="4C4F5EB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Aceste declarații au o relevanță constituțională și politică importantă. Președintele nu afirmă că finanțatorii desemnează premierul și nici că instituțiile europene stabilesc componența guvernului. El indică însă că relația cu finanțatorii și credibilitatea financiară externă reprezintă criterii de care trebuie să țină seama în evaluarea formulei politice ce urmează să guverneze.</w:t>
      </w:r>
    </w:p>
    <w:p w14:paraId="1BF1649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poziție reflectă situația obiectivă a statului român în 2026. România se află într-un sistem de angajamente PNRR, procedură de deficit excesiv, plan fiscal-structural, datorie publică și dependență de finanțarea piețelor. Un nou guvern nu poate considera aceste obligații stinse prin simpla schimbare a premierului.</w:t>
      </w:r>
    </w:p>
    <w:p w14:paraId="16AD44C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același timp, introducerea acestor constrângeri în criteriul politic al formării guvernului ridică problema raportului dintre legitimitatea electorală și continuitatea obligațiilor externe. Dacă o majoritate parlamentară ar dori o politică economică radical diferită, libertatea sa juridică de a o propune ar trebui confruntată cu costurile financiare și instituționale ale renunțării la angajamentele existente.</w:t>
      </w:r>
    </w:p>
    <w:p w14:paraId="1034888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această perspectivă, Nicușor Dan nu creează constrângerile, dar devine unul dintre principalii lor administratori politici. Funcția prezidențială este utilizată pentru susținerea continuității strategice și financiare, iar criteriul „prooccidental” este legat de stabilitatea relațiilor externe și de credibilitatea față de finanțatori.</w:t>
      </w:r>
    </w:p>
    <w:p w14:paraId="4A66245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evoluție justifică analiza distinctă a rolului său în studiul de față. Nicușor Dan nu este nici autorul Agendei 2030, nici negociatorul PNRR din 2021 și nici autorul inițial al procedurii de deficit excesiv. El apare însă, în 2025–2026, în poziția instituțională care garantează continuitatea unor direcții construite anterior și care utilizează continuitatea prooccidentală și financiară drept criteriu de selecție politică.</w:t>
      </w:r>
    </w:p>
    <w:p w14:paraId="4B8C14A3" w14:textId="77777777" w:rsidR="00B81F1C" w:rsidRPr="007873B4" w:rsidRDefault="00B81F1C" w:rsidP="00B81F1C">
      <w:pPr>
        <w:numPr>
          <w:ilvl w:val="0"/>
          <w:numId w:val="54"/>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Proeuropean, prooccidental și progresist. Delimitarea unor noțiuni utilizate frecvent ca echivalente</w:t>
      </w:r>
    </w:p>
    <w:p w14:paraId="5800898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Utilizarea termenilor proeuropean, prooccidental și progresist ca sinonime produce o confuzie care trebuie eliminată pentru rigoarea studiului. Cele trei noțiuni au origini și conținuturi diferite și pot coincide în anumite contexte fără a fi identice.</w:t>
      </w:r>
    </w:p>
    <w:p w14:paraId="27A9EC5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Termenul proeuropean descrie, în sens politic, susținerea apartenenței la Uniunea Europeană și a procesului de integrare europeană. El poate include acceptarea instituțiilor, tratatelor și mecanismelor comune, fără a presupune adeziunea la toate politicile promovate într-un anumit moment de Comisia Europeană sau de majoritățile politice europene.</w:t>
      </w:r>
    </w:p>
    <w:p w14:paraId="3CDCCB0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Termenul prooccidental are o semnificație mai largă și în primul rând geopolitică. În discursul lui Nicușor Dan, acesta este legat de Uniunea Europeană, Statele Unite și NATO. Din această perspectivă, un actor poate fi prooccidental și simultan critic față de anumite politici fiscale, sociale sau climatice ale Uniunii Europene, fără ca această critică să îl transforme automat într-un adversar al Occidentului.</w:t>
      </w:r>
    </w:p>
    <w:p w14:paraId="7D669ED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Progresismul aparține unei alte categorii. El descrie o concepție politică și socială orientată spre transformarea instituțiilor și a normelor sociale în direcția unor obiective privind egalitatea, incluziunea, protecția minorităților, intervenția publică pentru corectarea unor dezechilibre, protecția mediului și modernizarea instituțiilor. Conținutul concret diferă între spații politice și perioade istorice.</w:t>
      </w:r>
    </w:p>
    <w:p w14:paraId="64E7A3B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 parte dintre politicile Uniunii Europene contemporane pot fi caracterizate ca progresiste în acest sens, în special prin accentul pe transformarea climatică, incluziune, egalitate, digitalizare și reglementare preventivă. Din aceasta nu rezultă însă că Uniunea Europeană în ansamblu este echivalentă doctrinar cu progresismul și nici că apartenența la UE presupune automat acceptarea tuturor pozițiilor progresiste.</w:t>
      </w:r>
    </w:p>
    <w:p w14:paraId="2581BEE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Comparația cu Statele Unite confirmă necesitatea delimitării. SUA reprezintă unul dintre pilonii centrali ai Occidentului, dar politica americană include curente conservatoare foarte puternice, sceptice față de anumite forme de reglementare climatică, intervenție economică sau transformare socială. Prin urmare, opoziția dintre progresism și conservatorism poate exista în interiorul aceluiași spațiu occidental.</w:t>
      </w:r>
    </w:p>
    <w:p w14:paraId="7D85D96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analiza României, problema apare atunci când continuitatea prooccidentală este utilizată pentru a legitima simultan politici fiscale, sociale sau administrative care nu rezultă în mod necesar din orientarea geopolitică. Susținerea NATO și a parteneriatului strategic cu Statele Unite nu determină în sine o anumită cotă de TVA, un anumit regim al microîntreprinderilor sau un anumit model de impozitare a proprietății.</w:t>
      </w:r>
    </w:p>
    <w:p w14:paraId="12F1CEF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 aceea, studiul trebuie să distingă între continuitatea geopolitică, integrarea europeană și adoptarea unor politici de transformare internă. În anumite perioade ele pot fi promovate de aceleași forțe politice și pot forma un pachet comun de guvernare, dar această asociere este politică, nu conceptual inevitabilă.</w:t>
      </w:r>
    </w:p>
    <w:p w14:paraId="619E648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distincție permite și o evaluare mai precisă a discursului lui Nicușor Dan. Atunci când acesta vorbește despre păstrarea direcției prooccidentale, documentele analizate permit asocierea termenului cu UE, SUA și NATO și, în anumite declarații, cu continuitatea angajamentelor fiscale și financiare. Ele nu permit însă concluzia automată că președintele definește progresismul social drept condiție juridică pentru guvernare.</w:t>
      </w:r>
    </w:p>
    <w:p w14:paraId="1484483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mai importantă pentru prezentul studiu este dacă termenul prooccidental este utilizat în practica politică pentru a reuni într-o singură categorie opțiunea geopolitică și continuitatea unor politici economice și instituționale. În măsura în care această asociere devine constantă, contestarea unei politici fiscale poate fi prezentată politic drept contestare a direcției occidentale, deși cele două nu sunt logic identice.</w:t>
      </w:r>
    </w:p>
    <w:p w14:paraId="31D4564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Delimitarea lor este necesară tocmai pentru protejarea unei dezbateri democratice reale. Apartenența strategică a României poate fi stabilă, în timp ce politica fiscală, socială și administrativă rămâne obiect legitim al alegerii și contestării politice.</w:t>
      </w:r>
    </w:p>
    <w:p w14:paraId="0A208A95" w14:textId="77777777" w:rsidR="00B81F1C" w:rsidRPr="007873B4" w:rsidRDefault="00B81F1C" w:rsidP="00B81F1C">
      <w:pPr>
        <w:numPr>
          <w:ilvl w:val="0"/>
          <w:numId w:val="55"/>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Digitalizarea administrației și noul raport dintre stat și cetățean</w:t>
      </w:r>
    </w:p>
    <w:p w14:paraId="1D7131E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Digitalizarea administrației publice reprezintă una dintre cele mai importante transformări ale raportului dintre individ și stat, deoarece mută o parte tot mai mare din interacțiunea administrativă într-un sistem de date, registre, identificatori, raportări automate și interoperabilitate. Din perspectiva eficienței, această evoluție poate reduce costurile de administrare, poate limita frauda, poate crește viteza serviciilor publice și poate permite controlul mai eficient al obligațiilor fiscale. Din perspectiva libertății individuale, aceeași infrastructură crește însă capacitatea statului de a observa, corela și analiza activitatea economică și patrimonială a persoanei.</w:t>
      </w:r>
    </w:p>
    <w:p w14:paraId="1A9502A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domeniul fiscal, dezvoltarea RO e-Factura, digitalizarea ANAF, raportările standardizate, interconectarea bazelor de date și analiza automată a informațiilor reprezintă componente ale aceleiași evoluții. PNRR include digitalizarea administrației fiscale, iar legislația ulterioară accelerează introducerea unor sisteme electronice de raportare și control. Materialul analizat arată că în cazul e-Factura România însăși a solicitat derogarea necesară pentru introducerea obligativității B2B, ceea ce demonstrează că digitalizarea nu poate fi atribuită în bloc unei impuneri externe.</w:t>
      </w:r>
    </w:p>
    <w:p w14:paraId="6192906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Schimbarea este mai profundă decât înlocuirea unei facturi pe hârtie cu una electronică. Într-un sistem tradițional, administrația obține informația fiscală la intervale determinate sau prin inspecție. Într-un sistem digital integrat, informația poate deveni disponibilă aproape în timp real, poate fi comparată automat cu alte surse și poate genera alerte sau selecții de risc fără intervenție umană directă.</w:t>
      </w:r>
    </w:p>
    <w:p w14:paraId="4EBBEA2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proces nu trebuie caracterizat în sine ca o reducere a libertății. Digitalizarea poate servi atât contribuabilului, cât și administrației. Problema apare în raportul dintre extinderea capacității tehnologice și dezvoltarea garanțiilor juridice. Dacă statul poate colecta și corela tot mai multe date, trebuie să existe reguli clare privind scopul, durata păstrării, accesul, corectarea erorilor, contestarea concluziilor automate și protecția împotriva utilizării disproporționate.</w:t>
      </w:r>
    </w:p>
    <w:p w14:paraId="1A12053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Același sistem european care încurajează digitalizarea a construit și mecanisme de protecție a persoanei, în special prin GDPR, jurisprudența CJUE și standardele privind protecția datelor. Această realitate împiedică prezentarea digitalizării europene exclusiv ca mecanism de control. Arhitectura conține simultan instrumente de extindere a capacității administrative și instrumente de limitare a acesteia.</w:t>
      </w:r>
    </w:p>
    <w:p w14:paraId="405E501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Pentru analiza suveranității, digitalizarea introduce însă o problemă distinctă. Odată construite infrastructuri comune și standarde interoperabile, revenirea la un sistem administrativ complet diferit devine costisitoare și dificilă. Tehnologia produce astfel propria formă de continuitate instituțională, independentă de alternanța politică. Un guvern poate modifica anumite proceduri, </w:t>
      </w:r>
      <w:r w:rsidRPr="007873B4">
        <w:rPr>
          <w:rFonts w:ascii="Times New Roman" w:eastAsia="Times New Roman" w:hAnsi="Times New Roman" w:cs="Times New Roman"/>
          <w:kern w:val="0"/>
          <w:lang w:val="ro-RO"/>
          <w14:ligatures w14:val="none"/>
        </w:rPr>
        <w:lastRenderedPageBreak/>
        <w:t>dar nu poate abandona ușor infrastructurile în care au fost investite resurse și care au devenit parte din sistemul european de raportare și conformare.</w:t>
      </w:r>
    </w:p>
    <w:p w14:paraId="7D345986" w14:textId="77777777" w:rsidR="00B81F1C" w:rsidRPr="007873B4" w:rsidRDefault="00B81F1C" w:rsidP="00B81F1C">
      <w:pPr>
        <w:numPr>
          <w:ilvl w:val="0"/>
          <w:numId w:val="56"/>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Proprietatea, fiscalitatea și problema continuității valorii economice</w:t>
      </w:r>
    </w:p>
    <w:p w14:paraId="5C5B669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Impozitarea proprietății trebuie analizată nu numai ca sursă de venit bugetar, ci și prin raportare la natura economică a proprietății și la capacitatea efectivă a titularului de a suporta sarcina fiscală. Trecerea către valori de piață și evaluarea în masă modifică relația dintre valoarea patrimonială și obligația anuală de plată.</w:t>
      </w:r>
    </w:p>
    <w:p w14:paraId="397B5A8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 proprietate poate dobândi o valoare de piață semnificativ mai mare fără ca proprietarul să realizeze un venit monetar suplimentar. În cazul unei persoane care locuiește de zeci de ani într-un imobil a cărui valoare crește ca urmare a dezvoltării zonei, aprecierea activului nu produce automat lichiditate. Dacă impozitul este legat într-o măsură mai mare de valoarea de piață, persoana poate suporta o sarcină fiscală crescută fără creșterea corespunzătoare a venitului disponibil.</w:t>
      </w:r>
    </w:p>
    <w:p w14:paraId="4C4D360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problemă este importantă pentru relația dintre proprietate și autonomie economică. Proprietatea nu este numai un activ susceptibil de valorificare, ci și un element de stabilitate personală și familială. O fiscalitate construită exclusiv pe valoarea de piață poate produce situații în care persoana este împinsă indirect spre valorificarea unui bun pentru a putea suporta costul deținerii lui.</w:t>
      </w:r>
    </w:p>
    <w:p w14:paraId="491D7DF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risc nu este inevitabil. Sistemele fiscale pot utiliza plafoane, scutiri, amânări, protecții pentru persoanele cu venituri reduse sau alte mecanisme de proporționalitate. Tocmai existența acestor instrumente arată că reforma proprietății nu este numai o problemă tehnică de evaluare, ci una de politică socială și constituțională.</w:t>
      </w:r>
    </w:p>
    <w:p w14:paraId="0B76FA2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Pentru prezentul studiu, relevanța constă în traseul prin care modelul tehnic este construit. Banca Mondială recomandă și dezvoltă sisteme de evaluare în masă, PNRR include reforma impozitării proprietății, documentele europene ulterioare urmăresc dezvoltarea infrastructurii de evaluare, iar Guvernul român transpune soluțiile în legislație.</w:t>
      </w:r>
    </w:p>
    <w:p w14:paraId="6E684AB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exemplu ilustrează foarte bine diferența dintre originea intelectuală și răspunderea politică. Modelul poate fi internațional, recomandarea poate fi tehnică, iar cadrul european poate încuraja reforma, dar actul care stabilește obligația fiscală a proprietarului rămâne actul autorității române. Din acest motiv, responsabilitatea nu poate fi transferată integral asupra instituției externe care a furnizat modelul.</w:t>
      </w:r>
    </w:p>
    <w:p w14:paraId="32073B6D" w14:textId="77777777" w:rsidR="00B81F1C" w:rsidRPr="007873B4" w:rsidRDefault="00B81F1C" w:rsidP="00B81F1C">
      <w:pPr>
        <w:numPr>
          <w:ilvl w:val="0"/>
          <w:numId w:val="57"/>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Continuitatea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dincolo de alternanța electorală</w:t>
      </w:r>
    </w:p>
    <w:p w14:paraId="5A7FA2A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Cronologia perioadei 2021–2026 permite observarea unei continuități care nu poate fi explicată prin apartenența la un singur partid.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negociază PNRR și acceptă jaloanele fiscale.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reprezentant PSD, începe transpunerea majoră prin OG nr. 16/2022.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PNL, continuă reforma prin Legea nr. 296/2023 și OUG nr. 115/2023.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 </w:t>
      </w:r>
      <w:r w:rsidRPr="007873B4">
        <w:rPr>
          <w:rFonts w:ascii="Times New Roman" w:eastAsia="Times New Roman" w:hAnsi="Times New Roman" w:cs="Times New Roman"/>
          <w:kern w:val="0"/>
          <w:lang w:val="ro-RO"/>
          <w14:ligatures w14:val="none"/>
        </w:rPr>
        <w:lastRenderedPageBreak/>
        <w:t xml:space="preserve">adoptă OUG nr. 156/2024.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 revine în 2025 și administrează o etapă în care reforma fiscală se suprapune peste procedura de deficit excesiv și planul fiscal-structural.</w:t>
      </w:r>
    </w:p>
    <w:p w14:paraId="6D8EF91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Continuitatea aceasta poate fi explicată parțial prin natura angajamentelor asumate de stat. Odată negociat și aprobat PNRR, fiecare guvern ulterior găsește o parte dintre reforme deja integrate într-un sistem de condiționalitate. Procedura de deficit excesiv adaugă ulterior o obligație privind rezultatul bugetar. În aceste condiții, alternanța politică poate modifica instrumentele, dar nu poate ignora fără consecințe cadrul general.</w:t>
      </w:r>
    </w:p>
    <w:p w14:paraId="20F7CCB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Acest fapt nu înseamnă că toate partidele au aceleași concepții economice. În practică, există diferențe privind distribuția sarcinii fiscale, nivelul cheltuielilor, facilitățile sectoriale sau calendarul reformelor. Ceea ce se reduce este capacitatea de a schimba complet direcția atunci când aceasta este legată de angajamente multianuale.</w:t>
      </w:r>
    </w:p>
    <w:p w14:paraId="5D745F37"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perspectivă democratică, această situație modifică raportul dintre programul electoral și politica executată. Alegătorul poate vota un partid pentru promisiunea unei fiscalități mai reduse, dar partidul poate ajunge la guvernare într-un sistem în care statul trebuie să realizeze un anumit rezultat bugetar. Decizia politică se mută astfel de la întrebarea dacă există ajustare la întrebarea cine suportă ajustarea și prin ce instrument.</w:t>
      </w:r>
    </w:p>
    <w:p w14:paraId="5475B4A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continuitate reprezintă una dintre principalele explicații pentru sentimentul public că schimbarea guvernului nu produce întotdeauna schimbarea politicii. Explicația nu trebuie căutată exclusiv într-o presupusă identitate între partide, ci și în existența unor constrângeri juridice, financiare și instituționale care supraviețuiesc ciclului electoral.</w:t>
      </w:r>
    </w:p>
    <w:p w14:paraId="42A0EF58" w14:textId="77777777" w:rsidR="00B81F1C" w:rsidRPr="007873B4" w:rsidRDefault="00B81F1C" w:rsidP="00B81F1C">
      <w:pPr>
        <w:numPr>
          <w:ilvl w:val="0"/>
          <w:numId w:val="58"/>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Parlamentul ca ultimă verigă și proliferarea legislației prin ordonanțe</w:t>
      </w:r>
    </w:p>
    <w:p w14:paraId="330ADA0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suveranității nu privește numai raportul dintre România și instituțiile externe, ci și raportul dintre Executiv și Parlament în interiorul statului. În materia fiscală, utilizarea frecventă a ordonanțelor și ordonanțelor de urgență reduce intervalul în care măsurile pot fi dezbătute înainte de intrarea lor în vigoare și deplasează inițiativa legislativă către Guvern.</w:t>
      </w:r>
    </w:p>
    <w:p w14:paraId="425B67A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Cronologia analizată este dominată de acte precum OG nr. 16/2022, OUG nr. 115/2023, OUG nr. 156/2024, OUG nr. 89/2025, OUG nr. 7/2026 și OUG nr. 8/2026. Alături de acestea apar legi adoptate în procedură parlamentară, dar frecvența intervențiilor executive asupra Codului fiscal rămâne ridicată.</w:t>
      </w:r>
    </w:p>
    <w:p w14:paraId="47A4707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practică are efect asupra echilibrului constituțional. În modelul clasic, fiscalitatea este unul dintre domeniile esențiale ale reprezentării parlamentare, deoarece impunerea contribuțiilor asupra cetățeanului necesită o legitimitate democratică directă și o dezbatere publică adecvată. Atunci când principalele modificări intră în vigoare prin acte ale Executivului, Parlamentul ajunge frecvent să valideze, să modifice sau să respingă ulterior o normă deja aplicabilă.</w:t>
      </w:r>
    </w:p>
    <w:p w14:paraId="0A7AAC2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În contextul angajamentelor europene și al termenelor din PNRR, Guvernul poate justifica rapiditatea prin necesitatea îndeplinirii unor jaloane sau corectării deficitului. Această justificare poate fi reală, dar nu elimină întrebarea constituțională privind măsura în care obligațiile </w:t>
      </w:r>
      <w:r w:rsidRPr="007873B4">
        <w:rPr>
          <w:rFonts w:ascii="Times New Roman" w:eastAsia="Times New Roman" w:hAnsi="Times New Roman" w:cs="Times New Roman"/>
          <w:kern w:val="0"/>
          <w:lang w:val="ro-RO"/>
          <w14:ligatures w14:val="none"/>
        </w:rPr>
        <w:lastRenderedPageBreak/>
        <w:t>internaționale sau europene ajung să accelereze transferul de putere legislativă de la Parlament la Executiv.</w:t>
      </w:r>
    </w:p>
    <w:p w14:paraId="1F2ABC0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Se formează astfel o dublă </w:t>
      </w:r>
      <w:proofErr w:type="spellStart"/>
      <w:r w:rsidRPr="007873B4">
        <w:rPr>
          <w:rFonts w:ascii="Times New Roman" w:eastAsia="Times New Roman" w:hAnsi="Times New Roman" w:cs="Times New Roman"/>
          <w:kern w:val="0"/>
          <w:lang w:val="ro-RO"/>
          <w14:ligatures w14:val="none"/>
        </w:rPr>
        <w:t>verticalizare</w:t>
      </w:r>
      <w:proofErr w:type="spellEnd"/>
      <w:r w:rsidRPr="007873B4">
        <w:rPr>
          <w:rFonts w:ascii="Times New Roman" w:eastAsia="Times New Roman" w:hAnsi="Times New Roman" w:cs="Times New Roman"/>
          <w:kern w:val="0"/>
          <w:lang w:val="ro-RO"/>
          <w14:ligatures w14:val="none"/>
        </w:rPr>
        <w:t>. La nivel extern, o parte a obiectivelor și rezultatelor sunt stabilite sau negociate în sisteme supranaționale și financiare. La nivel intern, Executivul devine principalul instrument de transpunere rapidă. Parlamentul păstrează competența constituțională, dar controlul său anterior asupra măsurii poate fi redus.</w:t>
      </w:r>
    </w:p>
    <w:p w14:paraId="457CB91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situație este centrală pentru analiza suveranității democratice. Suveranitatea statului nu poate fi redusă numai la libertatea Guvernului față de Bruxelles. Ea privește și libertatea Parlamentului față de propriul Executiv și capacitatea cetățeanului de a influența procesul prin reprezentanții aleși.</w:t>
      </w:r>
    </w:p>
    <w:p w14:paraId="5CD602BE" w14:textId="77777777" w:rsidR="00B81F1C" w:rsidRPr="007873B4" w:rsidRDefault="00B81F1C" w:rsidP="00B81F1C">
      <w:pPr>
        <w:numPr>
          <w:ilvl w:val="0"/>
          <w:numId w:val="59"/>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Suveranitatea electorală. În ce măsură mai poate votul schimba direcția</w:t>
      </w:r>
    </w:p>
    <w:p w14:paraId="19342D3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Alegerile reprezintă mecanismul prin care cetățeanul transferă temporar puterea politică unor reprezentanți și poate sancționa ulterior modul în care aceasta a fost exercitată. Funcționarea reală a acestui mecanism presupune însă că alegerea între partide poate produce diferențe semnificative de politică publică.</w:t>
      </w:r>
    </w:p>
    <w:p w14:paraId="01B8141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Angajamentele multianuale modifică această relație fără a o desființa. Un guvern poate fi înlocuit, dar PNRR continuă. Un ministru poate pleca, dar procedura de deficit excesiv continuă. O coaliție poate pierde alegerile, dar datoria publică și contractele statului rămân. Din această perspectivă, continuitatea este necesară pentru stabilitatea juridică și financiară a statului.</w:t>
      </w:r>
    </w:p>
    <w:p w14:paraId="0DE7802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apare atunci când proporția politicii publice angajate anterior devine atât de mare încât diferența dintre alternativele electorale se reduce substanțial. Dacă direcția fiscală, energetică, climatică, digitală și administrativă este deja structurată prin programe și obligații multianuale, votul poate modifica mai ales modul de implementare, nu direcția generală.</w:t>
      </w:r>
    </w:p>
    <w:p w14:paraId="052C7B8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Materialul analizat exprimă această problemă prin constatarea că cetățeanul votează în România, dar anumite politici sunt deja încadrate de tratate, legislație europeană, obiective climatice, PNRR, reguli privind deficitul și angajamente financiare anterioare. Guvernul național nu mai dispune de libertatea economică pe care ar avea-o un stat complet independent de aceste structuri.</w:t>
      </w:r>
    </w:p>
    <w:p w14:paraId="168B408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constatare nu conduce automat la concluzia că democrația devine inutilă. Alegerile continuă să determine distribuția sarcinii fiscale, prioritățile de cheltuire, protecțiile sociale, ritmul reformelor, politica externă și numeroase alte domenii. Ceea ce se modifică este dimensiunea spațiului disponibil pentru schimbarea de direcție.</w:t>
      </w:r>
    </w:p>
    <w:p w14:paraId="7737897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acest motiv, problema suveranității electorale trebuie formulată în termeni de grad, nu de existență sau inexistență. Cetățeanul nu își pierde complet puterea prin vot, dar poate constata că unele dintre cele mai importante opțiuni economice sunt deja limitate de angajamente asumate înaintea scrutinului.</w:t>
      </w:r>
    </w:p>
    <w:p w14:paraId="28A218FD" w14:textId="77777777" w:rsidR="00B81F1C" w:rsidRPr="007873B4" w:rsidRDefault="00B81F1C" w:rsidP="00B81F1C">
      <w:pPr>
        <w:numPr>
          <w:ilvl w:val="0"/>
          <w:numId w:val="60"/>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Suveranitatea formală și suveranitatea efectivă</w:t>
      </w:r>
    </w:p>
    <w:p w14:paraId="6DA56B9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Distincția introdusă la începutul studiului poate fi acum reluată pe baza cronologiei analizate. România rămâne formal stat suveran. Constituția, Parlamentul, Guvernul și sistemul judiciar funcționează în ordinea juridică națională, iar participarea la Uniunea Europeană și la organizațiile internaționale rezultă din decizii juridice asumate de stat.</w:t>
      </w:r>
    </w:p>
    <w:p w14:paraId="7E1C625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Suveranitatea efectivă privește însă capacitatea reală de a modifica o politică fără costuri sau consecințe disproporționate. Din această perspectivă, gradul de autonomie poate fi mai redus decât sugerează competența juridică formală.</w:t>
      </w:r>
    </w:p>
    <w:p w14:paraId="21F61E6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România poate juridic modifica un impozit, dar trebuie să respecte în același timp traiectoria fiscală. Poate modifica un program de reformă, dar poate pierde o tranșă de finanțare. Poate refuza o anumită condiționalitate, dar trebuie să suporte efectele asupra relației cu instituțiile europene sau asupra piețelor financiare. Libertatea juridică există, dar costul exercitării ei poate deveni foarte ridicat.</w:t>
      </w:r>
    </w:p>
    <w:p w14:paraId="79F8BA5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situație este frecventă în relațiile internaționale și nu este specifică României. Statele își limitează voluntar autonomia prin tratate și acorduri pentru a obține beneficii comune, stabilitate, securitate sau finanțare. Problema politică apare atunci când cetățeanul nu mai poate identifica ușor cine a luat decizia originară și cine răspunde pentru efectele ei.</w:t>
      </w:r>
    </w:p>
    <w:p w14:paraId="5612926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lanțul analizat există mai multe niveluri, obiectivul global, adaptarea europeană, negocierea națională, condiționalitatea financiară, recomandarea tehnică, actul Guvernului, aprobarea sau modificarea Parlamentului și executarea de către administrație. Cu cât lanțul este mai lung, cu atât răspunderea politică devine mai greu de localizat.</w:t>
      </w:r>
    </w:p>
    <w:p w14:paraId="21871C6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această perspectivă, reducerea suveranității nu trebuie înțeleasă exclusiv ca pierdere formală de competență. Ea poate apărea și ca reducere progresivă a numărului de opțiuni realist disponibile autorității naționale.</w:t>
      </w:r>
    </w:p>
    <w:p w14:paraId="5759BB50" w14:textId="77777777" w:rsidR="00B81F1C" w:rsidRPr="007873B4" w:rsidRDefault="00B81F1C" w:rsidP="00B81F1C">
      <w:pPr>
        <w:numPr>
          <w:ilvl w:val="0"/>
          <w:numId w:val="61"/>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Cetățeanul între protecție și control</w:t>
      </w:r>
    </w:p>
    <w:p w14:paraId="2873DDB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raportului dintre individ și noua arhitectură de guvernanță trebuie să evite o concluzie unilaterală. Aceleași instituții care extind capacitatea de reglementare și monitorizare produc și mecanisme de protecție a individului.</w:t>
      </w:r>
    </w:p>
    <w:p w14:paraId="000E177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oferă un exemplu foarte clar. GDPR limitează prelucrarea datelor, dreptul european al consumatorului protejează persoana în relația cu operatorii economici, libertatea de circulație extinde autonomia individuală, iar CJUE oferă un nivel suplimentar de control jurisdicțional asupra autorităților naționale. Standardele privind statul de drept și drepturile digitale pot limita inclusiv acțiunea propriului stat asupra cetățeanului.</w:t>
      </w:r>
    </w:p>
    <w:p w14:paraId="37A7037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În același timp, administrația digitală, raportarea extinsă, fiscalizarea și interoperabilitatea bazelor de date sporesc capacitatea de cunoaștere și intervenție a statului. Nu există o contradicție logică între cele două evoluții. Un sistem poate proteja persoana împotriva unor </w:t>
      </w:r>
      <w:r w:rsidRPr="007873B4">
        <w:rPr>
          <w:rFonts w:ascii="Times New Roman" w:eastAsia="Times New Roman" w:hAnsi="Times New Roman" w:cs="Times New Roman"/>
          <w:kern w:val="0"/>
          <w:lang w:val="ro-RO"/>
          <w14:ligatures w14:val="none"/>
        </w:rPr>
        <w:lastRenderedPageBreak/>
        <w:t>abuzuri și simultan poate deveni mai capabil să îi monitorizeze activitatea economică în limitele legii.</w:t>
      </w:r>
    </w:p>
    <w:p w14:paraId="1D3D319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fundamentală este proporționalitatea. O administrație eficientă are nevoie de informații, dar nu de orice informație și nu pentru orice scop. Combaterea fraudei poate justifica raportări, dar nu elimină dreptul contribuabilului la viață privată și la contestarea erorilor. Evaluarea automatizată poate eficientiza fiscalitatea, dar nu trebuie să transforme algoritmul într-o autoritate imposibil de contestat.</w:t>
      </w:r>
    </w:p>
    <w:p w14:paraId="4FA4664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acest sens, raportul dintre protecție și control depinde mai puțin de tehnologia în sine și mai mult de calitatea ordinii juridice. Un sistem digital puternic într-un stat de drept robust poate fi compatibil cu libertatea individuală. Același sistem într-o ordine juridică slabă poate deveni instrument de control disproporționat.</w:t>
      </w:r>
    </w:p>
    <w:p w14:paraId="70F4149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observație trebuie păstrată atunci când se compară Europa cu China sau alte sisteme autoritare. Similitudinea tehnologică nu înseamnă identitate juridică. Capacitatea de colectare a datelor poate exista în ambele sisteme, dar limitele instituționale, dreptul la contestare și independența controlului pot fi foarte diferite.</w:t>
      </w:r>
    </w:p>
    <w:p w14:paraId="5EC60505" w14:textId="77777777" w:rsidR="00B81F1C" w:rsidRPr="007873B4" w:rsidRDefault="00B81F1C" w:rsidP="00B81F1C">
      <w:pPr>
        <w:numPr>
          <w:ilvl w:val="0"/>
          <w:numId w:val="62"/>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„Sclavia modernă” ca teză critică. Limitele demonstrației și conținutul economic al conceptului</w:t>
      </w:r>
    </w:p>
    <w:p w14:paraId="6DBB84E1"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Expresia „sclavie modernă” poate descrie în limbaj politic sentimentul unei dependențe economice tot mai mari a individului față de stat, creditori, taxe și sisteme administrative. Pentru un studiu profesional, termenul trebuie însă separat de sensul juridic al sclaviei și tratat ca metaforă critică privind pierderea autonomiei economice.</w:t>
      </w:r>
    </w:p>
    <w:p w14:paraId="4DE5937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Documentele analizate nu demonstrează existența unui plan unic al ONU, Băncii Mondiale, Uniunii Europene și guvernelor naționale care ar avea drept scop declarat transformarea cetățeanului într-un sclav. O asemenea concluzie ar depăși materialul probator și ar vulnerabiliza analiza.</w:t>
      </w:r>
    </w:p>
    <w:p w14:paraId="7B56188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Există însă elemente documentabile care permit cercetarea unei probleme reale de autonomie. Fiscalitatea se extinde, facilitățile sunt reduse, proprietatea este adusă mai aproape de valoarea de piață pentru scopuri fiscale, raportarea devine mai detaliată, administrația dispune de mai multe date, iar politica economică națională este condiționată de angajamente și rezultate stabilite pe cicluri mai lungi decât mandatul electoral.</w:t>
      </w:r>
    </w:p>
    <w:p w14:paraId="30F737DA"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Dacă o persoană trebuie să suporte o sarcină fiscală tot mai ridicată pentru muncă, consum, capital și proprietate, iar capacitatea de a modifica direcția prin vot este limitată de obligații multianuale, poate apărea o reducere a autonomiei economice chiar fără dispariția formală a drepturilor.</w:t>
      </w:r>
    </w:p>
    <w:p w14:paraId="17266D2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situație nu este echivalentă cu sclavia în sens juridic, deoarece persoana își păstrează libertatea, proprietatea, drepturile politice și accesul la justiție. Metafora poate fi însă utilizată pentru a formula întrebarea privind raportul dintre obligația economică și autonomia individuală.</w:t>
      </w:r>
    </w:p>
    <w:p w14:paraId="38364B88"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O societate liberă nu se definește numai prin absența constrângerii fizice. Ea presupune și existența unui spațiu real în care persoana poate decide asupra muncii, proprietății, economisirii, consumului și viitorului familiei sale. Dacă acest spațiu se restrânge progresiv prin fiscalizare, reglementare și condiționalități asupra cărora cetățeanul are un control indirect, problema libertății economice devine legitimă.</w:t>
      </w:r>
    </w:p>
    <w:p w14:paraId="15FC7C7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același timp, fiscalitatea și reglementarea finanțează servicii publice, infrastructură, securitate, educație și protecție socială. De aceea studiul nu poate transforma orice obligație fiscală în dovadă a lipsei de libertate. Problema este una de proporție, transparență, control democratic și posibilitate reală de schimbare a politicii.</w:t>
      </w:r>
    </w:p>
    <w:p w14:paraId="1240D0AF" w14:textId="77777777" w:rsidR="00B81F1C" w:rsidRPr="007873B4" w:rsidRDefault="00B81F1C" w:rsidP="00B81F1C">
      <w:pPr>
        <w:numPr>
          <w:ilvl w:val="0"/>
          <w:numId w:val="63"/>
        </w:num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Concluzii. Cine stabilește direcția, cine o execută și cine suportă rezultatul</w:t>
      </w:r>
    </w:p>
    <w:p w14:paraId="5B92740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perioadei 2015–2026 arată dezvoltarea unei arhitecturi de guvernanță în care decizia publică este distribuită pe mai multe niveluri. Agenda 2030 formulează obiective globale și creează un limbaj comun al dezvoltării. Statele și regiunile le interpretează diferit, în funcție de propriile sisteme politice, culturale și religioase. China, statele arabe, statele africane, Statele Unite și Uniunea Europeană demonstrează că universalitatea obiectivelor nu produce automat uniformitatea sistemelor.</w:t>
      </w:r>
    </w:p>
    <w:p w14:paraId="1C7B3CE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 reprezintă pentru România un caz distinct deoarece dispune de capacitatea juridică și financiară de a transforma o parte dintre obiectivele comune în legislație, strategii, ținte și condiționalități. Această capacitate este rezultatul tratatelor și al competențelor acceptate de statele membre și nu poate fi redusă la imaginea unui ordin extern unilateral.</w:t>
      </w:r>
    </w:p>
    <w:p w14:paraId="3EDCB234"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Pandemia din 2020 accelerează dezvoltarea unor mecanisme europene extraordinare. Achizițiile comune de vaccinuri demonstrează separarea dintre cadrul negociat la nivel european și decizia națională privind utilizarea lui. </w:t>
      </w:r>
      <w:proofErr w:type="spellStart"/>
      <w:r w:rsidRPr="007873B4">
        <w:rPr>
          <w:rFonts w:ascii="Times New Roman" w:eastAsia="Times New Roman" w:hAnsi="Times New Roman" w:cs="Times New Roman"/>
          <w:kern w:val="0"/>
          <w:lang w:val="ro-RO"/>
          <w14:ligatures w14:val="none"/>
        </w:rPr>
        <w:t>NextGenerationEU</w:t>
      </w:r>
      <w:proofErr w:type="spellEnd"/>
      <w:r w:rsidRPr="007873B4">
        <w:rPr>
          <w:rFonts w:ascii="Times New Roman" w:eastAsia="Times New Roman" w:hAnsi="Times New Roman" w:cs="Times New Roman"/>
          <w:kern w:val="0"/>
          <w:lang w:val="ro-RO"/>
          <w14:ligatures w14:val="none"/>
        </w:rPr>
        <w:t xml:space="preserve"> și RRF transformă ulterior răspunsul economic la pandemie într-un mecanism în care finanțarea este asociată cu reforme structurale.</w:t>
      </w:r>
    </w:p>
    <w:p w14:paraId="33AD3C86"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România negociază PNRR în 2021 prin 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cu Cristian Ghinea la Ministerul Investițiilor și Proiectelor Europene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la Ministerul Finanțelor. Între proiectul din aprilie și forma transmisă la 31 mai, componenta fiscală devine mai precisă, iar declarațiile ulterioare ale lui Cristian Ghinea confirmă existența unei negocieri în care Comisia solicita reducerea unor excepții și regimuri preferențiale.</w:t>
      </w:r>
    </w:p>
    <w:p w14:paraId="17F7AD0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Jaloanele 205–208 transformă aceste direcții în angajamente verificabile. Regimul microîntreprinderilor este restrâns, facilitățile sunt reduse, proprietatea este inclusă în reforma fiscală, iar Banca Mondială este contractată pentru furnizarea expertizei tehnice. Ministerul Finanțelor rămâne beneficiarul și autoritatea politică responsabilă de utilizarea recomandărilor, iar legislația este adoptată de autoritățile române.</w:t>
      </w:r>
    </w:p>
    <w:p w14:paraId="13B5E945"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Execuția fiscală continuă indiferent de alternanța partidelor. 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și 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xml:space="preserve"> adoptă succesiv măsuri care continuă restrângerea regimurilor preferențiale și consolidarea fiscală. Unele măsuri sunt direct legate de PNRR, altele </w:t>
      </w:r>
      <w:r w:rsidRPr="007873B4">
        <w:rPr>
          <w:rFonts w:ascii="Times New Roman" w:eastAsia="Times New Roman" w:hAnsi="Times New Roman" w:cs="Times New Roman"/>
          <w:kern w:val="0"/>
          <w:lang w:val="ro-RO"/>
          <w14:ligatures w14:val="none"/>
        </w:rPr>
        <w:lastRenderedPageBreak/>
        <w:t>reprezintă alegeri naționale privind cotele și pragurile. Materialul analizat permite astfel separarea între obligația europeană și factura concretă stabilită la București.</w:t>
      </w:r>
    </w:p>
    <w:p w14:paraId="44C2BBF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2025, procedura de deficit excesiv și planul fiscal-structural adaugă o nouă dimensiune. Nu mai este urmărită numai adoptarea reformei, ci și efectul bugetar exprimat în procente din PIB. Guvernului român îi rămâne libertatea de a selecta instrumentele, dar rezultatul devine într-o măsură tot mai mare condiționat.</w:t>
      </w:r>
    </w:p>
    <w:p w14:paraId="7DB263B2"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paralel, ascensiunea lui Nicușor Dan trebuie înțeleasă ca proces îndelungat, nu ca apariție subită. Formarea occidentală, activismul civic, crearea USB și USR, mandatul parlamentar, Primăria Capitalei și candidatura prezidențială formează o succesiune de peste un deceniu. Pentru a demonstra ipoteza potrivit căreia această ascensiune ar fi fost dirijată din exterior este necesară cercetarea separată a finanțărilor, rețelelor de sprijin, parteneriatelor, susținerii mediatice și eventualelor intervenții externe. Materialul analizat până în prezent demonstrează evoluția și convergența cu orientarea proeuropeană, dar nu demonstrează prin el însuși impunerea persoanei de către un centru extern.</w:t>
      </w:r>
    </w:p>
    <w:p w14:paraId="3FA7A9DC"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După ajungerea la Președinție, rolul lui Nicușor Dan devine însă direct relevant pentru tema suveranității. În 2025 și 2026 acesta leagă formarea guvernului de păstrarea direcției prooccidentale, de respectarea angajamentelor financiare și de continuitatea traiectoriei fiscale.</w:t>
      </w:r>
    </w:p>
    <w:p w14:paraId="1E2C430D"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Această poziție nu demonstrează că finanțatorii numesc premierul, dar arată că președintele consideră relația cu aceștia și continuitatea financiară drept criterii legitime ale guvernării. În acest punct, problema suveranității nu mai este numai juridică, ci politică. Guvernul poate fi schimbat, dar direcția este prezentată ca trebuind să rămână compatibilă cu angajamentele existente.</w:t>
      </w:r>
    </w:p>
    <w:p w14:paraId="2315134E"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Firul complet al procesului poate fi descris astfel în termeni instituționali. Obiectivele globale creează cadrul. Instituțiile internaționale furnizează expertiză și modele. Uniunea Europeană selectează, adaptează și transformă o parte dintre aceste direcții în legislație, obiective și mecanisme financiare. Guvernele României negociază, acceptă și transpun. Parlamentul validează sau modifică. Administrația execută. Cetățeanul suportă costurile și beneficiază de eventualele efecte pozitive.</w:t>
      </w:r>
    </w:p>
    <w:p w14:paraId="7A92590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Această arhitectură nu demonstrează existența unui comandament unic al unei „noi ordini mondiale”. Demonstrează însă existența unei guvernanțe </w:t>
      </w:r>
      <w:proofErr w:type="spellStart"/>
      <w:r w:rsidRPr="007873B4">
        <w:rPr>
          <w:rFonts w:ascii="Times New Roman" w:eastAsia="Times New Roman" w:hAnsi="Times New Roman" w:cs="Times New Roman"/>
          <w:kern w:val="0"/>
          <w:lang w:val="ro-RO"/>
          <w14:ligatures w14:val="none"/>
        </w:rPr>
        <w:t>multilevel</w:t>
      </w:r>
      <w:proofErr w:type="spellEnd"/>
      <w:r w:rsidRPr="007873B4">
        <w:rPr>
          <w:rFonts w:ascii="Times New Roman" w:eastAsia="Times New Roman" w:hAnsi="Times New Roman" w:cs="Times New Roman"/>
          <w:kern w:val="0"/>
          <w:lang w:val="ro-RO"/>
          <w14:ligatures w14:val="none"/>
        </w:rPr>
        <w:t xml:space="preserve"> în care o parte din decizie este stabilită sau condiționată dincolo de ciclul electoral național. Materialul de bază formulează această constatare prin ideea unei </w:t>
      </w:r>
      <w:proofErr w:type="spellStart"/>
      <w:r w:rsidRPr="007873B4">
        <w:rPr>
          <w:rFonts w:ascii="Times New Roman" w:eastAsia="Times New Roman" w:hAnsi="Times New Roman" w:cs="Times New Roman"/>
          <w:kern w:val="0"/>
          <w:lang w:val="ro-RO"/>
          <w14:ligatures w14:val="none"/>
        </w:rPr>
        <w:t>verticalizări</w:t>
      </w:r>
      <w:proofErr w:type="spellEnd"/>
      <w:r w:rsidRPr="007873B4">
        <w:rPr>
          <w:rFonts w:ascii="Times New Roman" w:eastAsia="Times New Roman" w:hAnsi="Times New Roman" w:cs="Times New Roman"/>
          <w:kern w:val="0"/>
          <w:lang w:val="ro-RO"/>
          <w14:ligatures w14:val="none"/>
        </w:rPr>
        <w:t xml:space="preserve"> reale a deciziei publice și prin distanța crescândă dintre cetățean și centrul efectiv al deciziei.</w:t>
      </w:r>
    </w:p>
    <w:p w14:paraId="5B6F06A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Problema centrală a suveranității contemporane nu mai poate fi redusă la întrebarea dacă statul are formal dreptul de a decide. Ea trebuie extinsă la întrebarea dacă statul dispune în mod realist de alternative și dacă cetățeanul poate schimba aceste alternative prin vot.</w:t>
      </w:r>
    </w:p>
    <w:p w14:paraId="4D5F7169"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Într-un sistem democratic funcțional, angajamentele pe termen lung sunt necesare pentru stabilitate, iar cooperarea internațională poate produce beneficii pe care statul singur nu le-ar </w:t>
      </w:r>
      <w:r w:rsidRPr="007873B4">
        <w:rPr>
          <w:rFonts w:ascii="Times New Roman" w:eastAsia="Times New Roman" w:hAnsi="Times New Roman" w:cs="Times New Roman"/>
          <w:kern w:val="0"/>
          <w:lang w:val="ro-RO"/>
          <w14:ligatures w14:val="none"/>
        </w:rPr>
        <w:lastRenderedPageBreak/>
        <w:t>putea obține. În același timp, cu cât numărul politicilor stabilite pe termen lung prin condiționalități și acorduri crește, cu atât devine mai importantă transparența asupra originii lor și identificarea răspunderii politice pentru fiecare etapă.</w:t>
      </w:r>
    </w:p>
    <w:p w14:paraId="618EB830"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 acest sens, întrebarea finală a studiului nu privește existența Europei, legitimitatea cooperării internaționale sau utilitatea reformei. Ea privește raportul dintre aceste mecanisme și suveranitatea democratică.</w:t>
      </w:r>
    </w:p>
    <w:p w14:paraId="3B3CEA9F"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Cetățeanul trebuie să poată identifica cine a stabilit direcția, cine a negociat-o, cine a acceptat-o, cine a ales instrumentul fiscal concret și cine răspunde pentru efectele produse. Fără această trasabilitate, responsabilitatea se dizolvă între instituții, iar alegătorului îi rămâne posibilitatea formală de a schimba guvernul fără certitudinea că poate schimba și politica.</w:t>
      </w:r>
    </w:p>
    <w:p w14:paraId="2B019FCB" w14:textId="77777777" w:rsidR="00B81F1C" w:rsidRPr="007873B4" w:rsidRDefault="00B81F1C" w:rsidP="00B81F1C">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această perspectivă, problema esențială a perioadei analizate nu este dispariția formală a suveranității României, ci transformarea ei dintr-o competență predominant națională într-o competență exercitată într-o rețea de obligații, finanțări, standarde și angajamente care depășesc mandatul electoral. Gradul în care această transformare rămâne compatibilă cu controlul democratic al cetățeanului constituie problema politică și constituțională centrală pe care evoluțiile din 2015–2026 o lasă deschisă.</w:t>
      </w:r>
    </w:p>
    <w:p w14:paraId="10854C6E"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ANEXĂ</w:t>
      </w:r>
    </w:p>
    <w:p w14:paraId="64D1D134"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Sinteza cronologică și instituțională a reformei fiscale 2020–2026</w:t>
      </w:r>
    </w:p>
    <w:p w14:paraId="6053AF66"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1. Miniștrii Finanțelor, apartenența politică și principalele acte fiscale adoptate în perioada 2020–2026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3"/>
        <w:gridCol w:w="1324"/>
        <w:gridCol w:w="781"/>
        <w:gridCol w:w="1846"/>
        <w:gridCol w:w="4036"/>
      </w:tblGrid>
      <w:tr w:rsidR="007873B4" w:rsidRPr="007873B4" w14:paraId="18A7508C" w14:textId="77777777">
        <w:trPr>
          <w:tblCellSpacing w:w="15" w:type="dxa"/>
        </w:trPr>
        <w:tc>
          <w:tcPr>
            <w:tcW w:w="0" w:type="auto"/>
            <w:vAlign w:val="center"/>
            <w:hideMark/>
          </w:tcPr>
          <w:p w14:paraId="057CD165"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Perioada</w:t>
            </w:r>
          </w:p>
        </w:tc>
        <w:tc>
          <w:tcPr>
            <w:tcW w:w="0" w:type="auto"/>
            <w:vAlign w:val="center"/>
            <w:hideMark/>
          </w:tcPr>
          <w:p w14:paraId="2079D467"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Ministrul Finanțelor</w:t>
            </w:r>
          </w:p>
        </w:tc>
        <w:tc>
          <w:tcPr>
            <w:tcW w:w="0" w:type="auto"/>
            <w:vAlign w:val="center"/>
            <w:hideMark/>
          </w:tcPr>
          <w:p w14:paraId="7CD63C8B"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Partid</w:t>
            </w:r>
          </w:p>
        </w:tc>
        <w:tc>
          <w:tcPr>
            <w:tcW w:w="0" w:type="auto"/>
            <w:vAlign w:val="center"/>
            <w:hideMark/>
          </w:tcPr>
          <w:p w14:paraId="41DDAB7D"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 fiscal relevant</w:t>
            </w:r>
          </w:p>
        </w:tc>
        <w:tc>
          <w:tcPr>
            <w:tcW w:w="0" w:type="auto"/>
            <w:vAlign w:val="center"/>
            <w:hideMark/>
          </w:tcPr>
          <w:p w14:paraId="7008B226"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Principala modificare</w:t>
            </w:r>
          </w:p>
        </w:tc>
      </w:tr>
      <w:tr w:rsidR="007873B4" w:rsidRPr="007873B4" w14:paraId="755C529E" w14:textId="77777777">
        <w:trPr>
          <w:tblCellSpacing w:w="15" w:type="dxa"/>
        </w:trPr>
        <w:tc>
          <w:tcPr>
            <w:tcW w:w="0" w:type="auto"/>
            <w:vAlign w:val="center"/>
            <w:hideMark/>
          </w:tcPr>
          <w:p w14:paraId="65C9BE5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2020</w:t>
            </w:r>
          </w:p>
        </w:tc>
        <w:tc>
          <w:tcPr>
            <w:tcW w:w="0" w:type="auto"/>
            <w:vAlign w:val="center"/>
            <w:hideMark/>
          </w:tcPr>
          <w:p w14:paraId="0797BAE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Florin </w:t>
            </w:r>
            <w:proofErr w:type="spellStart"/>
            <w:r w:rsidRPr="007873B4">
              <w:rPr>
                <w:rFonts w:ascii="Times New Roman" w:eastAsia="Times New Roman" w:hAnsi="Times New Roman" w:cs="Times New Roman"/>
                <w:kern w:val="0"/>
                <w:lang w:val="ro-RO"/>
                <w14:ligatures w14:val="none"/>
              </w:rPr>
              <w:t>Cîțu</w:t>
            </w:r>
            <w:proofErr w:type="spellEnd"/>
          </w:p>
        </w:tc>
        <w:tc>
          <w:tcPr>
            <w:tcW w:w="0" w:type="auto"/>
            <w:vAlign w:val="center"/>
            <w:hideMark/>
          </w:tcPr>
          <w:p w14:paraId="62EA7C6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58B3234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Multiple OUG fiscale COVID</w:t>
            </w:r>
          </w:p>
        </w:tc>
        <w:tc>
          <w:tcPr>
            <w:tcW w:w="0" w:type="auto"/>
            <w:vAlign w:val="center"/>
            <w:hideMark/>
          </w:tcPr>
          <w:p w14:paraId="6B5D4CE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Predominant amânări, facilități și măsuri de sprijin. Perioada precedă marele val de majorări fiscale ulterioare.</w:t>
            </w:r>
          </w:p>
        </w:tc>
      </w:tr>
      <w:tr w:rsidR="007873B4" w:rsidRPr="007873B4" w14:paraId="4964052A" w14:textId="77777777">
        <w:trPr>
          <w:tblCellSpacing w:w="15" w:type="dxa"/>
        </w:trPr>
        <w:tc>
          <w:tcPr>
            <w:tcW w:w="0" w:type="auto"/>
            <w:vAlign w:val="center"/>
            <w:hideMark/>
          </w:tcPr>
          <w:p w14:paraId="71DA7EC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2021</w:t>
            </w:r>
          </w:p>
        </w:tc>
        <w:tc>
          <w:tcPr>
            <w:tcW w:w="0" w:type="auto"/>
            <w:vAlign w:val="center"/>
            <w:hideMark/>
          </w:tcPr>
          <w:p w14:paraId="663F144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1CF9BC3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33B73ED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Modificări punctuale ale Codului fiscal</w:t>
            </w:r>
          </w:p>
        </w:tc>
        <w:tc>
          <w:tcPr>
            <w:tcW w:w="0" w:type="auto"/>
            <w:vAlign w:val="center"/>
            <w:hideMark/>
          </w:tcPr>
          <w:p w14:paraId="17F266F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apare încă un pachet fiscal comparabil ca amploare cu reformele din 2022–2026.</w:t>
            </w:r>
          </w:p>
        </w:tc>
      </w:tr>
      <w:tr w:rsidR="007873B4" w:rsidRPr="007873B4" w14:paraId="14F503FB" w14:textId="77777777">
        <w:trPr>
          <w:tblCellSpacing w:w="15" w:type="dxa"/>
        </w:trPr>
        <w:tc>
          <w:tcPr>
            <w:tcW w:w="0" w:type="auto"/>
            <w:vAlign w:val="center"/>
            <w:hideMark/>
          </w:tcPr>
          <w:p w14:paraId="1D26FF6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2021</w:t>
            </w:r>
          </w:p>
        </w:tc>
        <w:tc>
          <w:tcPr>
            <w:tcW w:w="0" w:type="auto"/>
            <w:vAlign w:val="center"/>
            <w:hideMark/>
          </w:tcPr>
          <w:p w14:paraId="7C205EB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Dan Vîlceanu</w:t>
            </w:r>
          </w:p>
        </w:tc>
        <w:tc>
          <w:tcPr>
            <w:tcW w:w="0" w:type="auto"/>
            <w:vAlign w:val="center"/>
            <w:hideMark/>
          </w:tcPr>
          <w:p w14:paraId="00DE85F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73C56B4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120/2021</w:t>
            </w:r>
          </w:p>
        </w:tc>
        <w:tc>
          <w:tcPr>
            <w:tcW w:w="0" w:type="auto"/>
            <w:vAlign w:val="center"/>
            <w:hideMark/>
          </w:tcPr>
          <w:p w14:paraId="77B279B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Introducerea cadrului RO e-Factura, ulterior extins și transformat într-un sistem obligatoriu.</w:t>
            </w:r>
          </w:p>
        </w:tc>
      </w:tr>
      <w:tr w:rsidR="007873B4" w:rsidRPr="007873B4" w14:paraId="24F1D3CC" w14:textId="77777777">
        <w:trPr>
          <w:tblCellSpacing w:w="15" w:type="dxa"/>
        </w:trPr>
        <w:tc>
          <w:tcPr>
            <w:tcW w:w="0" w:type="auto"/>
            <w:vAlign w:val="center"/>
            <w:hideMark/>
          </w:tcPr>
          <w:p w14:paraId="16A6703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2022–iunie 2023</w:t>
            </w:r>
          </w:p>
        </w:tc>
        <w:tc>
          <w:tcPr>
            <w:tcW w:w="0" w:type="auto"/>
            <w:vAlign w:val="center"/>
            <w:hideMark/>
          </w:tcPr>
          <w:p w14:paraId="0A2B415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p>
        </w:tc>
        <w:tc>
          <w:tcPr>
            <w:tcW w:w="0" w:type="auto"/>
            <w:vAlign w:val="center"/>
            <w:hideMark/>
          </w:tcPr>
          <w:p w14:paraId="3875DD1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PSD</w:t>
            </w:r>
          </w:p>
        </w:tc>
        <w:tc>
          <w:tcPr>
            <w:tcW w:w="0" w:type="auto"/>
            <w:vAlign w:val="center"/>
            <w:hideMark/>
          </w:tcPr>
          <w:p w14:paraId="1CB0010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ulterior Legea nr. 370/2022</w:t>
            </w:r>
          </w:p>
        </w:tc>
        <w:tc>
          <w:tcPr>
            <w:tcW w:w="0" w:type="auto"/>
            <w:vAlign w:val="center"/>
            <w:hideMark/>
          </w:tcPr>
          <w:p w14:paraId="2723D6B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Restrângerea microîntreprinderilor, modificarea dividendelor, contribuțiilor, TVA și altor componente fiscale.</w:t>
            </w:r>
          </w:p>
        </w:tc>
      </w:tr>
      <w:tr w:rsidR="007873B4" w:rsidRPr="007873B4" w14:paraId="0389E019" w14:textId="77777777">
        <w:trPr>
          <w:tblCellSpacing w:w="15" w:type="dxa"/>
        </w:trPr>
        <w:tc>
          <w:tcPr>
            <w:tcW w:w="0" w:type="auto"/>
            <w:vAlign w:val="center"/>
            <w:hideMark/>
          </w:tcPr>
          <w:p w14:paraId="6C57095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iunie 2023–decembrie 2024</w:t>
            </w:r>
          </w:p>
        </w:tc>
        <w:tc>
          <w:tcPr>
            <w:tcW w:w="0" w:type="auto"/>
            <w:vAlign w:val="center"/>
            <w:hideMark/>
          </w:tcPr>
          <w:p w14:paraId="620ED68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p>
        </w:tc>
        <w:tc>
          <w:tcPr>
            <w:tcW w:w="0" w:type="auto"/>
            <w:vAlign w:val="center"/>
            <w:hideMark/>
          </w:tcPr>
          <w:p w14:paraId="6E47E2C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56D5182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w:t>
            </w:r>
          </w:p>
        </w:tc>
        <w:tc>
          <w:tcPr>
            <w:tcW w:w="0" w:type="auto"/>
            <w:vAlign w:val="center"/>
            <w:hideMark/>
          </w:tcPr>
          <w:p w14:paraId="480BB0C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Modificări ample privind profitul, microîntreprinderile, contribuțiile, TVA, facilitățile și sistemele de raportare.</w:t>
            </w:r>
          </w:p>
        </w:tc>
      </w:tr>
      <w:tr w:rsidR="007873B4" w:rsidRPr="007873B4" w14:paraId="1B4DB3A9" w14:textId="77777777">
        <w:trPr>
          <w:tblCellSpacing w:w="15" w:type="dxa"/>
        </w:trPr>
        <w:tc>
          <w:tcPr>
            <w:tcW w:w="0" w:type="auto"/>
            <w:vAlign w:val="center"/>
            <w:hideMark/>
          </w:tcPr>
          <w:p w14:paraId="5B66C0B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2023–2024</w:t>
            </w:r>
          </w:p>
        </w:tc>
        <w:tc>
          <w:tcPr>
            <w:tcW w:w="0" w:type="auto"/>
            <w:vAlign w:val="center"/>
            <w:hideMark/>
          </w:tcPr>
          <w:p w14:paraId="0FFC686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p>
        </w:tc>
        <w:tc>
          <w:tcPr>
            <w:tcW w:w="0" w:type="auto"/>
            <w:vAlign w:val="center"/>
            <w:hideMark/>
          </w:tcPr>
          <w:p w14:paraId="613E002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2299802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115/2023</w:t>
            </w:r>
          </w:p>
        </w:tc>
        <w:tc>
          <w:tcPr>
            <w:tcW w:w="0" w:type="auto"/>
            <w:vAlign w:val="center"/>
            <w:hideMark/>
          </w:tcPr>
          <w:p w14:paraId="75D5849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Continuarea reformei privind microîntreprinderile, profitul, contribuțiile și digitalizarea fiscală.</w:t>
            </w:r>
          </w:p>
        </w:tc>
      </w:tr>
      <w:tr w:rsidR="007873B4" w:rsidRPr="007873B4" w14:paraId="63863F66" w14:textId="77777777">
        <w:trPr>
          <w:tblCellSpacing w:w="15" w:type="dxa"/>
        </w:trPr>
        <w:tc>
          <w:tcPr>
            <w:tcW w:w="0" w:type="auto"/>
            <w:vAlign w:val="center"/>
            <w:hideMark/>
          </w:tcPr>
          <w:p w14:paraId="0EF2237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2024</w:t>
            </w:r>
          </w:p>
        </w:tc>
        <w:tc>
          <w:tcPr>
            <w:tcW w:w="0" w:type="auto"/>
            <w:vAlign w:val="center"/>
            <w:hideMark/>
          </w:tcPr>
          <w:p w14:paraId="7A46D06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p>
        </w:tc>
        <w:tc>
          <w:tcPr>
            <w:tcW w:w="0" w:type="auto"/>
            <w:vAlign w:val="center"/>
            <w:hideMark/>
          </w:tcPr>
          <w:p w14:paraId="09B7347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5464F36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31/2024, OUG nr. 69/2024, OUG nr. 70/2024</w:t>
            </w:r>
          </w:p>
        </w:tc>
        <w:tc>
          <w:tcPr>
            <w:tcW w:w="0" w:type="auto"/>
            <w:vAlign w:val="center"/>
            <w:hideMark/>
          </w:tcPr>
          <w:p w14:paraId="3FDB84E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Succesiune de intervenții asupra Codului fiscal, TVA și sistemelor digitale.</w:t>
            </w:r>
          </w:p>
        </w:tc>
      </w:tr>
      <w:tr w:rsidR="007873B4" w:rsidRPr="007873B4" w14:paraId="0F4ED2C1" w14:textId="77777777">
        <w:trPr>
          <w:tblCellSpacing w:w="15" w:type="dxa"/>
        </w:trPr>
        <w:tc>
          <w:tcPr>
            <w:tcW w:w="0" w:type="auto"/>
            <w:vAlign w:val="center"/>
            <w:hideMark/>
          </w:tcPr>
          <w:p w14:paraId="303B0FB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decembrie 2024–iunie 2025</w:t>
            </w:r>
          </w:p>
        </w:tc>
        <w:tc>
          <w:tcPr>
            <w:tcW w:w="0" w:type="auto"/>
            <w:vAlign w:val="center"/>
            <w:hideMark/>
          </w:tcPr>
          <w:p w14:paraId="64D682E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w:t>
            </w:r>
          </w:p>
        </w:tc>
        <w:tc>
          <w:tcPr>
            <w:tcW w:w="0" w:type="auto"/>
            <w:vAlign w:val="center"/>
            <w:hideMark/>
          </w:tcPr>
          <w:p w14:paraId="14696E5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UDMR</w:t>
            </w:r>
          </w:p>
        </w:tc>
        <w:tc>
          <w:tcPr>
            <w:tcW w:w="0" w:type="auto"/>
            <w:vAlign w:val="center"/>
            <w:hideMark/>
          </w:tcPr>
          <w:p w14:paraId="2BBB4BA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w:t>
            </w:r>
          </w:p>
        </w:tc>
        <w:tc>
          <w:tcPr>
            <w:tcW w:w="0" w:type="auto"/>
            <w:vAlign w:val="center"/>
            <w:hideMark/>
          </w:tcPr>
          <w:p w14:paraId="4B5176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Eliminarea unor facilități fiscale, modificări privind microîntreprinderile și majorarea impozitului pe dividende de la 8 la 10 la sută.</w:t>
            </w:r>
          </w:p>
        </w:tc>
      </w:tr>
      <w:tr w:rsidR="007873B4" w:rsidRPr="007873B4" w14:paraId="05AFB904" w14:textId="77777777">
        <w:trPr>
          <w:tblCellSpacing w:w="15" w:type="dxa"/>
        </w:trPr>
        <w:tc>
          <w:tcPr>
            <w:tcW w:w="0" w:type="auto"/>
            <w:vAlign w:val="center"/>
            <w:hideMark/>
          </w:tcPr>
          <w:p w14:paraId="5DF7FFD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din iunie 2025</w:t>
            </w:r>
          </w:p>
        </w:tc>
        <w:tc>
          <w:tcPr>
            <w:tcW w:w="0" w:type="auto"/>
            <w:vAlign w:val="center"/>
            <w:hideMark/>
          </w:tcPr>
          <w:p w14:paraId="0E1ED11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4F4948F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4980CFC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w:t>
            </w:r>
          </w:p>
        </w:tc>
        <w:tc>
          <w:tcPr>
            <w:tcW w:w="0" w:type="auto"/>
            <w:vAlign w:val="center"/>
            <w:hideMark/>
          </w:tcPr>
          <w:p w14:paraId="6DAFA09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TVA standard 19 la 21 la sută, restructurarea cotelor reduse, contribuții și alte măsuri de consolidare.</w:t>
            </w:r>
          </w:p>
        </w:tc>
      </w:tr>
      <w:tr w:rsidR="007873B4" w:rsidRPr="007873B4" w14:paraId="167E3550" w14:textId="77777777">
        <w:trPr>
          <w:tblCellSpacing w:w="15" w:type="dxa"/>
        </w:trPr>
        <w:tc>
          <w:tcPr>
            <w:tcW w:w="0" w:type="auto"/>
            <w:vAlign w:val="center"/>
            <w:hideMark/>
          </w:tcPr>
          <w:p w14:paraId="415975F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2025</w:t>
            </w:r>
          </w:p>
        </w:tc>
        <w:tc>
          <w:tcPr>
            <w:tcW w:w="0" w:type="auto"/>
            <w:vAlign w:val="center"/>
            <w:hideMark/>
          </w:tcPr>
          <w:p w14:paraId="200E6DD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6498183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39E694C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239/2025</w:t>
            </w:r>
          </w:p>
        </w:tc>
        <w:tc>
          <w:tcPr>
            <w:tcW w:w="0" w:type="auto"/>
            <w:vAlign w:val="center"/>
            <w:hideMark/>
          </w:tcPr>
          <w:p w14:paraId="5DE788F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Modificări ample ale Codului fiscal, Codului de procedură fiscală, disciplinei financiare și altor reglementări.</w:t>
            </w:r>
          </w:p>
        </w:tc>
      </w:tr>
      <w:tr w:rsidR="007873B4" w:rsidRPr="007873B4" w14:paraId="54C5D19D" w14:textId="77777777">
        <w:trPr>
          <w:tblCellSpacing w:w="15" w:type="dxa"/>
        </w:trPr>
        <w:tc>
          <w:tcPr>
            <w:tcW w:w="0" w:type="auto"/>
            <w:vAlign w:val="center"/>
            <w:hideMark/>
          </w:tcPr>
          <w:p w14:paraId="02CFFFC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2025</w:t>
            </w:r>
          </w:p>
        </w:tc>
        <w:tc>
          <w:tcPr>
            <w:tcW w:w="0" w:type="auto"/>
            <w:vAlign w:val="center"/>
            <w:hideMark/>
          </w:tcPr>
          <w:p w14:paraId="0094343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50A4AB7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585260D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89/2025</w:t>
            </w:r>
          </w:p>
        </w:tc>
        <w:tc>
          <w:tcPr>
            <w:tcW w:w="0" w:type="auto"/>
            <w:vAlign w:val="center"/>
            <w:hideMark/>
          </w:tcPr>
          <w:p w14:paraId="6B591D4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Noi modificări privind profitul, microîntreprinderile, veniturile, accizele, e-Factura și procedura fiscală.</w:t>
            </w:r>
          </w:p>
        </w:tc>
      </w:tr>
      <w:tr w:rsidR="007873B4" w:rsidRPr="007873B4" w14:paraId="0533B07E" w14:textId="77777777">
        <w:trPr>
          <w:tblCellSpacing w:w="15" w:type="dxa"/>
        </w:trPr>
        <w:tc>
          <w:tcPr>
            <w:tcW w:w="0" w:type="auto"/>
            <w:vAlign w:val="center"/>
            <w:hideMark/>
          </w:tcPr>
          <w:p w14:paraId="4407482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2026</w:t>
            </w:r>
          </w:p>
        </w:tc>
        <w:tc>
          <w:tcPr>
            <w:tcW w:w="0" w:type="auto"/>
            <w:vAlign w:val="center"/>
            <w:hideMark/>
          </w:tcPr>
          <w:p w14:paraId="6668E5E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6147A20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1420F19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7/2026 și OUG nr. 8/2026</w:t>
            </w:r>
          </w:p>
        </w:tc>
        <w:tc>
          <w:tcPr>
            <w:tcW w:w="0" w:type="auto"/>
            <w:vAlign w:val="center"/>
            <w:hideMark/>
          </w:tcPr>
          <w:p w14:paraId="4EE0128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Continuarea intervențiilor asupra procedurii fiscale, profitului, microîntreprinderilor, veniturilor, contribuțiilor și TVA.</w:t>
            </w:r>
          </w:p>
        </w:tc>
      </w:tr>
    </w:tbl>
    <w:p w14:paraId="2B06976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Tabelul evidențiază faptul că intensificarea reformei fiscale nu poate fi atribuită unui singur partid. Succesiunea actelor traversează mandate ale miniștrilor PNL, PSD și UDMR, în timp ce direcțiile principale ale reformei continuă. Punctul de accelerare este vizibil începând cu OG nr. 16/2022, urmat de pachetele din 2023–2026.</w:t>
      </w:r>
    </w:p>
    <w:p w14:paraId="36EA5AA0"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2. Actele fiscale românești și natura legăturii cu instituțiile europene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gridCol w:w="1340"/>
        <w:gridCol w:w="2100"/>
        <w:gridCol w:w="4039"/>
      </w:tblGrid>
      <w:tr w:rsidR="007873B4" w:rsidRPr="007873B4" w14:paraId="3F97B0E0" w14:textId="77777777">
        <w:trPr>
          <w:tblCellSpacing w:w="15" w:type="dxa"/>
        </w:trPr>
        <w:tc>
          <w:tcPr>
            <w:tcW w:w="0" w:type="auto"/>
            <w:vAlign w:val="center"/>
            <w:hideMark/>
          </w:tcPr>
          <w:p w14:paraId="57A385AA"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 românesc</w:t>
            </w:r>
          </w:p>
        </w:tc>
        <w:tc>
          <w:tcPr>
            <w:tcW w:w="0" w:type="auto"/>
            <w:vAlign w:val="center"/>
            <w:hideMark/>
          </w:tcPr>
          <w:p w14:paraId="374BA6EC"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Ministru și partid</w:t>
            </w:r>
          </w:p>
        </w:tc>
        <w:tc>
          <w:tcPr>
            <w:tcW w:w="0" w:type="auto"/>
            <w:vAlign w:val="center"/>
            <w:hideMark/>
          </w:tcPr>
          <w:p w14:paraId="6C4F6F3E"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Legătura europeană</w:t>
            </w:r>
          </w:p>
        </w:tc>
        <w:tc>
          <w:tcPr>
            <w:tcW w:w="0" w:type="auto"/>
            <w:vAlign w:val="center"/>
            <w:hideMark/>
          </w:tcPr>
          <w:p w14:paraId="3E6B909D"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Caracterizarea legăturii</w:t>
            </w:r>
          </w:p>
        </w:tc>
      </w:tr>
      <w:tr w:rsidR="007873B4" w:rsidRPr="007873B4" w14:paraId="3AEF3461" w14:textId="77777777">
        <w:trPr>
          <w:tblCellSpacing w:w="15" w:type="dxa"/>
        </w:trPr>
        <w:tc>
          <w:tcPr>
            <w:tcW w:w="0" w:type="auto"/>
            <w:vAlign w:val="center"/>
            <w:hideMark/>
          </w:tcPr>
          <w:p w14:paraId="3969530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120/2021 și dezvoltarea RO e-Factura</w:t>
            </w:r>
          </w:p>
        </w:tc>
        <w:tc>
          <w:tcPr>
            <w:tcW w:w="0" w:type="auto"/>
            <w:vAlign w:val="center"/>
            <w:hideMark/>
          </w:tcPr>
          <w:p w14:paraId="18A3CCC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Dan Vîlceanu, PNL</w:t>
            </w:r>
          </w:p>
        </w:tc>
        <w:tc>
          <w:tcPr>
            <w:tcW w:w="0" w:type="auto"/>
            <w:vAlign w:val="center"/>
            <w:hideMark/>
          </w:tcPr>
          <w:p w14:paraId="5EF2AFF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și derogare UE în materia TVA</w:t>
            </w:r>
          </w:p>
        </w:tc>
        <w:tc>
          <w:tcPr>
            <w:tcW w:w="0" w:type="auto"/>
            <w:vAlign w:val="center"/>
            <w:hideMark/>
          </w:tcPr>
          <w:p w14:paraId="1F55D59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Legătură europeană importantă, dar România însăși a solicitat autorizarea necesară pentru facturarea electronică obligatorie.</w:t>
            </w:r>
          </w:p>
        </w:tc>
      </w:tr>
      <w:tr w:rsidR="007873B4" w:rsidRPr="007873B4" w14:paraId="13BF76B7" w14:textId="77777777">
        <w:trPr>
          <w:tblCellSpacing w:w="15" w:type="dxa"/>
        </w:trPr>
        <w:tc>
          <w:tcPr>
            <w:tcW w:w="0" w:type="auto"/>
            <w:vAlign w:val="center"/>
            <w:hideMark/>
          </w:tcPr>
          <w:p w14:paraId="05B94E2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w:t>
            </w:r>
          </w:p>
        </w:tc>
        <w:tc>
          <w:tcPr>
            <w:tcW w:w="0" w:type="auto"/>
            <w:vAlign w:val="center"/>
            <w:hideMark/>
          </w:tcPr>
          <w:p w14:paraId="30F6CFC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PSD</w:t>
            </w:r>
          </w:p>
        </w:tc>
        <w:tc>
          <w:tcPr>
            <w:tcW w:w="0" w:type="auto"/>
            <w:vAlign w:val="center"/>
            <w:hideMark/>
          </w:tcPr>
          <w:p w14:paraId="078E014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reforma cadrului fiscal</w:t>
            </w:r>
          </w:p>
        </w:tc>
        <w:tc>
          <w:tcPr>
            <w:tcW w:w="0" w:type="auto"/>
            <w:vAlign w:val="center"/>
            <w:hideMark/>
          </w:tcPr>
          <w:p w14:paraId="6DD4B20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Legătură directă cu jaloanele privind microîntreprinderile și reducerea facilităților.</w:t>
            </w:r>
          </w:p>
        </w:tc>
      </w:tr>
      <w:tr w:rsidR="007873B4" w:rsidRPr="007873B4" w14:paraId="7DFBD57F" w14:textId="77777777">
        <w:trPr>
          <w:tblCellSpacing w:w="15" w:type="dxa"/>
        </w:trPr>
        <w:tc>
          <w:tcPr>
            <w:tcW w:w="0" w:type="auto"/>
            <w:vAlign w:val="center"/>
            <w:hideMark/>
          </w:tcPr>
          <w:p w14:paraId="333A03C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w:t>
            </w:r>
          </w:p>
        </w:tc>
        <w:tc>
          <w:tcPr>
            <w:tcW w:w="0" w:type="auto"/>
            <w:vAlign w:val="center"/>
            <w:hideMark/>
          </w:tcPr>
          <w:p w14:paraId="53B0A79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3B1A16B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și consolidare fiscală</w:t>
            </w:r>
          </w:p>
        </w:tc>
        <w:tc>
          <w:tcPr>
            <w:tcW w:w="0" w:type="auto"/>
            <w:vAlign w:val="center"/>
            <w:hideMark/>
          </w:tcPr>
          <w:p w14:paraId="72E6093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Continuă realizarea jaloanelor fiscale și restructurarea regimurilor preferențiale.</w:t>
            </w:r>
          </w:p>
        </w:tc>
      </w:tr>
      <w:tr w:rsidR="007873B4" w:rsidRPr="007873B4" w14:paraId="0565420A" w14:textId="77777777">
        <w:trPr>
          <w:tblCellSpacing w:w="15" w:type="dxa"/>
        </w:trPr>
        <w:tc>
          <w:tcPr>
            <w:tcW w:w="0" w:type="auto"/>
            <w:vAlign w:val="center"/>
            <w:hideMark/>
          </w:tcPr>
          <w:p w14:paraId="413A5F9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OUG nr. 115/2023</w:t>
            </w:r>
          </w:p>
        </w:tc>
        <w:tc>
          <w:tcPr>
            <w:tcW w:w="0" w:type="auto"/>
            <w:vAlign w:val="center"/>
            <w:hideMark/>
          </w:tcPr>
          <w:p w14:paraId="7772512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77A0974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și recomandările privind consolidarea</w:t>
            </w:r>
          </w:p>
        </w:tc>
        <w:tc>
          <w:tcPr>
            <w:tcW w:w="0" w:type="auto"/>
            <w:vAlign w:val="center"/>
            <w:hideMark/>
          </w:tcPr>
          <w:p w14:paraId="66D7F1D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Legătura este directă pentru anumite componente, dar nu toate măsurile pot fi atribuite instituțiilor europene.</w:t>
            </w:r>
          </w:p>
        </w:tc>
      </w:tr>
      <w:tr w:rsidR="007873B4" w:rsidRPr="007873B4" w14:paraId="4851BF0F" w14:textId="77777777">
        <w:trPr>
          <w:tblCellSpacing w:w="15" w:type="dxa"/>
        </w:trPr>
        <w:tc>
          <w:tcPr>
            <w:tcW w:w="0" w:type="auto"/>
            <w:vAlign w:val="center"/>
            <w:hideMark/>
          </w:tcPr>
          <w:p w14:paraId="18A31BF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w:t>
            </w:r>
          </w:p>
        </w:tc>
        <w:tc>
          <w:tcPr>
            <w:tcW w:w="0" w:type="auto"/>
            <w:vAlign w:val="center"/>
            <w:hideMark/>
          </w:tcPr>
          <w:p w14:paraId="44741A7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w:t>
            </w:r>
          </w:p>
        </w:tc>
        <w:tc>
          <w:tcPr>
            <w:tcW w:w="0" w:type="auto"/>
            <w:vAlign w:val="center"/>
            <w:hideMark/>
          </w:tcPr>
          <w:p w14:paraId="3527EAE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deficit excesiv, consolidare fiscală</w:t>
            </w:r>
          </w:p>
        </w:tc>
        <w:tc>
          <w:tcPr>
            <w:tcW w:w="0" w:type="auto"/>
            <w:vAlign w:val="center"/>
            <w:hideMark/>
          </w:tcPr>
          <w:p w14:paraId="576B3EB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Direcția generală este condiționată, în timp ce o parte dintre instrumente și cote sunt stabilite național.</w:t>
            </w:r>
          </w:p>
        </w:tc>
      </w:tr>
      <w:tr w:rsidR="007873B4" w:rsidRPr="007873B4" w14:paraId="099C8AC7" w14:textId="77777777">
        <w:trPr>
          <w:tblCellSpacing w:w="15" w:type="dxa"/>
        </w:trPr>
        <w:tc>
          <w:tcPr>
            <w:tcW w:w="0" w:type="auto"/>
            <w:vAlign w:val="center"/>
            <w:hideMark/>
          </w:tcPr>
          <w:p w14:paraId="031B6E5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w:t>
            </w:r>
          </w:p>
        </w:tc>
        <w:tc>
          <w:tcPr>
            <w:tcW w:w="0" w:type="auto"/>
            <w:vAlign w:val="center"/>
            <w:hideMark/>
          </w:tcPr>
          <w:p w14:paraId="4E654C9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1F38D55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Procedura de deficit excesiv și traiectoria fiscală</w:t>
            </w:r>
          </w:p>
        </w:tc>
        <w:tc>
          <w:tcPr>
            <w:tcW w:w="0" w:type="auto"/>
            <w:vAlign w:val="center"/>
            <w:hideMark/>
          </w:tcPr>
          <w:p w14:paraId="625C4A5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UE solicită rezultatul consolidării, dar nu rezultă că a stabilit textual cota TVA de 21 la sută.</w:t>
            </w:r>
          </w:p>
        </w:tc>
      </w:tr>
      <w:tr w:rsidR="007873B4" w:rsidRPr="007873B4" w14:paraId="1933D3CE" w14:textId="77777777">
        <w:trPr>
          <w:tblCellSpacing w:w="15" w:type="dxa"/>
        </w:trPr>
        <w:tc>
          <w:tcPr>
            <w:tcW w:w="0" w:type="auto"/>
            <w:vAlign w:val="center"/>
            <w:hideMark/>
          </w:tcPr>
          <w:p w14:paraId="5584BD5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239/2025</w:t>
            </w:r>
          </w:p>
        </w:tc>
        <w:tc>
          <w:tcPr>
            <w:tcW w:w="0" w:type="auto"/>
            <w:vAlign w:val="center"/>
            <w:hideMark/>
          </w:tcPr>
          <w:p w14:paraId="6060DC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7F0AD80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consolidare fiscală, reforme structurale</w:t>
            </w:r>
          </w:p>
        </w:tc>
        <w:tc>
          <w:tcPr>
            <w:tcW w:w="0" w:type="auto"/>
            <w:vAlign w:val="center"/>
            <w:hideMark/>
          </w:tcPr>
          <w:p w14:paraId="5E0FA4D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Unele măsuri au filiație europeană directă, altele reprezintă opțiuni legislative românești.</w:t>
            </w:r>
          </w:p>
        </w:tc>
      </w:tr>
      <w:tr w:rsidR="007873B4" w:rsidRPr="007873B4" w14:paraId="5F478A8C" w14:textId="77777777">
        <w:trPr>
          <w:tblCellSpacing w:w="15" w:type="dxa"/>
        </w:trPr>
        <w:tc>
          <w:tcPr>
            <w:tcW w:w="0" w:type="auto"/>
            <w:vAlign w:val="center"/>
            <w:hideMark/>
          </w:tcPr>
          <w:p w14:paraId="7451377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89/2025</w:t>
            </w:r>
          </w:p>
        </w:tc>
        <w:tc>
          <w:tcPr>
            <w:tcW w:w="0" w:type="auto"/>
            <w:vAlign w:val="center"/>
            <w:hideMark/>
          </w:tcPr>
          <w:p w14:paraId="6AC8A6F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2EBA457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Consolidare fiscală și jaloane</w:t>
            </w:r>
          </w:p>
        </w:tc>
        <w:tc>
          <w:tcPr>
            <w:tcW w:w="0" w:type="auto"/>
            <w:vAlign w:val="center"/>
            <w:hideMark/>
          </w:tcPr>
          <w:p w14:paraId="3B08E50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Obiectivele sunt legate de angajamente existente, instrumentele concrete rămân în mare măsură naționale.</w:t>
            </w:r>
          </w:p>
        </w:tc>
      </w:tr>
      <w:tr w:rsidR="007873B4" w:rsidRPr="007873B4" w14:paraId="3BEC45EE" w14:textId="77777777">
        <w:trPr>
          <w:tblCellSpacing w:w="15" w:type="dxa"/>
        </w:trPr>
        <w:tc>
          <w:tcPr>
            <w:tcW w:w="0" w:type="auto"/>
            <w:vAlign w:val="center"/>
            <w:hideMark/>
          </w:tcPr>
          <w:p w14:paraId="569AF58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7/2026 și OUG nr. 8/2026</w:t>
            </w:r>
          </w:p>
        </w:tc>
        <w:tc>
          <w:tcPr>
            <w:tcW w:w="0" w:type="auto"/>
            <w:vAlign w:val="center"/>
            <w:hideMark/>
          </w:tcPr>
          <w:p w14:paraId="11C904C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67C8C82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revizuit și traiectoria fiscală europeană</w:t>
            </w:r>
          </w:p>
        </w:tc>
        <w:tc>
          <w:tcPr>
            <w:tcW w:w="0" w:type="auto"/>
            <w:vAlign w:val="center"/>
            <w:hideMark/>
          </w:tcPr>
          <w:p w14:paraId="1CB3E1D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Continuarea reformei într-un cadru în care România are deja obligații fiscale și financiare multianuale.</w:t>
            </w:r>
          </w:p>
        </w:tc>
      </w:tr>
    </w:tbl>
    <w:p w14:paraId="72439E37"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Tabelul delimitează situațiile în care există o obligație europeană explicită de cele în care instituțiile europene stabilesc numai obiectivul sau rezultatul. Formula generică „ne cere Bruxelles-</w:t>
      </w:r>
      <w:proofErr w:type="spellStart"/>
      <w:r w:rsidRPr="007873B4">
        <w:rPr>
          <w:rFonts w:ascii="Times New Roman" w:eastAsia="Times New Roman" w:hAnsi="Times New Roman" w:cs="Times New Roman"/>
          <w:kern w:val="0"/>
          <w:lang w:val="ro-RO"/>
          <w14:ligatures w14:val="none"/>
        </w:rPr>
        <w:t>ul</w:t>
      </w:r>
      <w:proofErr w:type="spellEnd"/>
      <w:r w:rsidRPr="007873B4">
        <w:rPr>
          <w:rFonts w:ascii="Times New Roman" w:eastAsia="Times New Roman" w:hAnsi="Times New Roman" w:cs="Times New Roman"/>
          <w:kern w:val="0"/>
          <w:lang w:val="ro-RO"/>
          <w14:ligatures w14:val="none"/>
        </w:rPr>
        <w:t>” nu este suficientă pentru stabilirea răspunderii. În anumite cazuri România a negociat sau chiar a solicitat mecanismul utilizat ulterior.</w:t>
      </w:r>
    </w:p>
    <w:p w14:paraId="27198D4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3. Principalele măsuri fiscale și distribuirea responsabilității între PNRR, Uniunea Europeană și autoritățile române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7"/>
        <w:gridCol w:w="1351"/>
        <w:gridCol w:w="3102"/>
        <w:gridCol w:w="2320"/>
      </w:tblGrid>
      <w:tr w:rsidR="007873B4" w:rsidRPr="007873B4" w14:paraId="68025683" w14:textId="77777777">
        <w:trPr>
          <w:tblCellSpacing w:w="15" w:type="dxa"/>
        </w:trPr>
        <w:tc>
          <w:tcPr>
            <w:tcW w:w="0" w:type="auto"/>
            <w:vAlign w:val="center"/>
            <w:hideMark/>
          </w:tcPr>
          <w:p w14:paraId="1A4CD866"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 sau măsură</w:t>
            </w:r>
          </w:p>
        </w:tc>
        <w:tc>
          <w:tcPr>
            <w:tcW w:w="0" w:type="auto"/>
            <w:vAlign w:val="center"/>
            <w:hideMark/>
          </w:tcPr>
          <w:p w14:paraId="1116761B"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Ministru</w:t>
            </w:r>
          </w:p>
        </w:tc>
        <w:tc>
          <w:tcPr>
            <w:tcW w:w="0" w:type="auto"/>
            <w:vAlign w:val="center"/>
            <w:hideMark/>
          </w:tcPr>
          <w:p w14:paraId="25BDB45D"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Cerința sau contextul extern</w:t>
            </w:r>
          </w:p>
        </w:tc>
        <w:tc>
          <w:tcPr>
            <w:tcW w:w="0" w:type="auto"/>
            <w:vAlign w:val="center"/>
            <w:hideMark/>
          </w:tcPr>
          <w:p w14:paraId="79BD235B"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Încadrarea</w:t>
            </w:r>
          </w:p>
        </w:tc>
      </w:tr>
      <w:tr w:rsidR="007873B4" w:rsidRPr="007873B4" w14:paraId="21047F15" w14:textId="77777777">
        <w:trPr>
          <w:tblCellSpacing w:w="15" w:type="dxa"/>
        </w:trPr>
        <w:tc>
          <w:tcPr>
            <w:tcW w:w="0" w:type="auto"/>
            <w:vAlign w:val="center"/>
            <w:hideMark/>
          </w:tcPr>
          <w:p w14:paraId="3CBDD48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restrângerea regimului micro</w:t>
            </w:r>
          </w:p>
        </w:tc>
        <w:tc>
          <w:tcPr>
            <w:tcW w:w="0" w:type="auto"/>
            <w:vAlign w:val="center"/>
            <w:hideMark/>
          </w:tcPr>
          <w:p w14:paraId="599013D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PSD</w:t>
            </w:r>
          </w:p>
        </w:tc>
        <w:tc>
          <w:tcPr>
            <w:tcW w:w="0" w:type="auto"/>
            <w:vAlign w:val="center"/>
            <w:hideMark/>
          </w:tcPr>
          <w:p w14:paraId="075516A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Jalonul 206 cere reducerea graduală a sferei regimului micro</w:t>
            </w:r>
          </w:p>
        </w:tc>
        <w:tc>
          <w:tcPr>
            <w:tcW w:w="0" w:type="auto"/>
            <w:vAlign w:val="center"/>
            <w:hideMark/>
          </w:tcPr>
          <w:p w14:paraId="6653342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direct</w:t>
            </w:r>
          </w:p>
        </w:tc>
      </w:tr>
      <w:tr w:rsidR="007873B4" w:rsidRPr="007873B4" w14:paraId="39E4537C" w14:textId="77777777">
        <w:trPr>
          <w:tblCellSpacing w:w="15" w:type="dxa"/>
        </w:trPr>
        <w:tc>
          <w:tcPr>
            <w:tcW w:w="0" w:type="auto"/>
            <w:vAlign w:val="center"/>
            <w:hideMark/>
          </w:tcPr>
          <w:p w14:paraId="448C03F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reducerea facilităților</w:t>
            </w:r>
          </w:p>
        </w:tc>
        <w:tc>
          <w:tcPr>
            <w:tcW w:w="0" w:type="auto"/>
            <w:vAlign w:val="center"/>
            <w:hideMark/>
          </w:tcPr>
          <w:p w14:paraId="4A813BE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PSD</w:t>
            </w:r>
          </w:p>
        </w:tc>
        <w:tc>
          <w:tcPr>
            <w:tcW w:w="0" w:type="auto"/>
            <w:vAlign w:val="center"/>
            <w:hideMark/>
          </w:tcPr>
          <w:p w14:paraId="5AE3DB9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Jaloanele 205 și 207 privesc analiza și reducerea stimulentelor fiscale</w:t>
            </w:r>
          </w:p>
        </w:tc>
        <w:tc>
          <w:tcPr>
            <w:tcW w:w="0" w:type="auto"/>
            <w:vAlign w:val="center"/>
            <w:hideMark/>
          </w:tcPr>
          <w:p w14:paraId="726C256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direct ca direcție</w:t>
            </w:r>
          </w:p>
        </w:tc>
      </w:tr>
      <w:tr w:rsidR="007873B4" w:rsidRPr="007873B4" w14:paraId="65B853C7" w14:textId="77777777">
        <w:trPr>
          <w:tblCellSpacing w:w="15" w:type="dxa"/>
        </w:trPr>
        <w:tc>
          <w:tcPr>
            <w:tcW w:w="0" w:type="auto"/>
            <w:vAlign w:val="center"/>
            <w:hideMark/>
          </w:tcPr>
          <w:p w14:paraId="07639F2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dividende 5 la 8 la sută</w:t>
            </w:r>
          </w:p>
        </w:tc>
        <w:tc>
          <w:tcPr>
            <w:tcW w:w="0" w:type="auto"/>
            <w:vAlign w:val="center"/>
            <w:hideMark/>
          </w:tcPr>
          <w:p w14:paraId="13DE671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PSD</w:t>
            </w:r>
          </w:p>
        </w:tc>
        <w:tc>
          <w:tcPr>
            <w:tcW w:w="0" w:type="auto"/>
            <w:vAlign w:val="center"/>
            <w:hideMark/>
          </w:tcPr>
          <w:p w14:paraId="56261D8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Reforma urmărește lărgirea bazei și creșterea veniturilor, dar PNRR nu prescrie cota de 8 la sută</w:t>
            </w:r>
          </w:p>
        </w:tc>
        <w:tc>
          <w:tcPr>
            <w:tcW w:w="0" w:type="auto"/>
            <w:vAlign w:val="center"/>
            <w:hideMark/>
          </w:tcPr>
          <w:p w14:paraId="0F485A2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Instrument național</w:t>
            </w:r>
          </w:p>
        </w:tc>
      </w:tr>
      <w:tr w:rsidR="007873B4" w:rsidRPr="007873B4" w14:paraId="1D7BC15C" w14:textId="77777777">
        <w:trPr>
          <w:tblCellSpacing w:w="15" w:type="dxa"/>
        </w:trPr>
        <w:tc>
          <w:tcPr>
            <w:tcW w:w="0" w:type="auto"/>
            <w:vAlign w:val="center"/>
            <w:hideMark/>
          </w:tcPr>
          <w:p w14:paraId="6B72D48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unele cote reduse de TVA</w:t>
            </w:r>
          </w:p>
        </w:tc>
        <w:tc>
          <w:tcPr>
            <w:tcW w:w="0" w:type="auto"/>
            <w:vAlign w:val="center"/>
            <w:hideMark/>
          </w:tcPr>
          <w:p w14:paraId="2F512E9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PSD</w:t>
            </w:r>
          </w:p>
        </w:tc>
        <w:tc>
          <w:tcPr>
            <w:tcW w:w="0" w:type="auto"/>
            <w:vAlign w:val="center"/>
            <w:hideMark/>
          </w:tcPr>
          <w:p w14:paraId="5874489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Reforma fiscală este asociată PNRR</w:t>
            </w:r>
          </w:p>
        </w:tc>
        <w:tc>
          <w:tcPr>
            <w:tcW w:w="0" w:type="auto"/>
            <w:vAlign w:val="center"/>
            <w:hideMark/>
          </w:tcPr>
          <w:p w14:paraId="0010BE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Cota concretă reprezintă alegere națională</w:t>
            </w:r>
          </w:p>
        </w:tc>
      </w:tr>
      <w:tr w:rsidR="007873B4" w:rsidRPr="007873B4" w14:paraId="1D227B37" w14:textId="77777777">
        <w:trPr>
          <w:tblCellSpacing w:w="15" w:type="dxa"/>
        </w:trPr>
        <w:tc>
          <w:tcPr>
            <w:tcW w:w="0" w:type="auto"/>
            <w:vAlign w:val="center"/>
            <w:hideMark/>
          </w:tcPr>
          <w:p w14:paraId="2FB5AAE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 restricții micro</w:t>
            </w:r>
          </w:p>
        </w:tc>
        <w:tc>
          <w:tcPr>
            <w:tcW w:w="0" w:type="auto"/>
            <w:vAlign w:val="center"/>
            <w:hideMark/>
          </w:tcPr>
          <w:p w14:paraId="676A6E8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791E3E1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Comisia include legea între actele relevante pentru realizarea jalonului 206</w:t>
            </w:r>
          </w:p>
        </w:tc>
        <w:tc>
          <w:tcPr>
            <w:tcW w:w="0" w:type="auto"/>
            <w:vAlign w:val="center"/>
            <w:hideMark/>
          </w:tcPr>
          <w:p w14:paraId="1841533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direct</w:t>
            </w:r>
          </w:p>
        </w:tc>
      </w:tr>
      <w:tr w:rsidR="007873B4" w:rsidRPr="007873B4" w14:paraId="72E4FC02" w14:textId="77777777">
        <w:trPr>
          <w:tblCellSpacing w:w="15" w:type="dxa"/>
        </w:trPr>
        <w:tc>
          <w:tcPr>
            <w:tcW w:w="0" w:type="auto"/>
            <w:vAlign w:val="center"/>
            <w:hideMark/>
          </w:tcPr>
          <w:p w14:paraId="4EDDA7B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Legea nr. 296/2023, sistem micro 1 și 3 la sută</w:t>
            </w:r>
          </w:p>
        </w:tc>
        <w:tc>
          <w:tcPr>
            <w:tcW w:w="0" w:type="auto"/>
            <w:vAlign w:val="center"/>
            <w:hideMark/>
          </w:tcPr>
          <w:p w14:paraId="28784DA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2A47092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cere restrângerea regimului, dar nu această arhitectură exactă</w:t>
            </w:r>
          </w:p>
        </w:tc>
        <w:tc>
          <w:tcPr>
            <w:tcW w:w="0" w:type="auto"/>
            <w:vAlign w:val="center"/>
            <w:hideMark/>
          </w:tcPr>
          <w:p w14:paraId="0236298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Obiectiv extern, mecanism românesc</w:t>
            </w:r>
          </w:p>
        </w:tc>
      </w:tr>
      <w:tr w:rsidR="007873B4" w:rsidRPr="007873B4" w14:paraId="1C2ECE2C" w14:textId="77777777">
        <w:trPr>
          <w:tblCellSpacing w:w="15" w:type="dxa"/>
        </w:trPr>
        <w:tc>
          <w:tcPr>
            <w:tcW w:w="0" w:type="auto"/>
            <w:vAlign w:val="center"/>
            <w:hideMark/>
          </w:tcPr>
          <w:p w14:paraId="55A4C73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 facilități sectoriale</w:t>
            </w:r>
          </w:p>
        </w:tc>
        <w:tc>
          <w:tcPr>
            <w:tcW w:w="0" w:type="auto"/>
            <w:vAlign w:val="center"/>
            <w:hideMark/>
          </w:tcPr>
          <w:p w14:paraId="2D7CA9A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22856FD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Jaloanele 207 și 208 prevăd reducerea unor facilități, iar 208 se referă expres la construcții</w:t>
            </w:r>
          </w:p>
        </w:tc>
        <w:tc>
          <w:tcPr>
            <w:tcW w:w="0" w:type="auto"/>
            <w:vAlign w:val="center"/>
            <w:hideMark/>
          </w:tcPr>
          <w:p w14:paraId="742074D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direct pentru componenta relevantă</w:t>
            </w:r>
          </w:p>
        </w:tc>
      </w:tr>
      <w:tr w:rsidR="007873B4" w:rsidRPr="007873B4" w14:paraId="192C535D" w14:textId="77777777">
        <w:trPr>
          <w:tblCellSpacing w:w="15" w:type="dxa"/>
        </w:trPr>
        <w:tc>
          <w:tcPr>
            <w:tcW w:w="0" w:type="auto"/>
            <w:vAlign w:val="center"/>
            <w:hideMark/>
          </w:tcPr>
          <w:p w14:paraId="4AA829D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115/2023, microîntreprinderi</w:t>
            </w:r>
          </w:p>
        </w:tc>
        <w:tc>
          <w:tcPr>
            <w:tcW w:w="0" w:type="auto"/>
            <w:vAlign w:val="center"/>
            <w:hideMark/>
          </w:tcPr>
          <w:p w14:paraId="305A6F0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1863444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Act identificat în evaluarea Comisiei pentru jalonul 206</w:t>
            </w:r>
          </w:p>
        </w:tc>
        <w:tc>
          <w:tcPr>
            <w:tcW w:w="0" w:type="auto"/>
            <w:vAlign w:val="center"/>
            <w:hideMark/>
          </w:tcPr>
          <w:p w14:paraId="333F299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direct</w:t>
            </w:r>
          </w:p>
        </w:tc>
      </w:tr>
      <w:tr w:rsidR="007873B4" w:rsidRPr="007873B4" w14:paraId="74D03089" w14:textId="77777777">
        <w:trPr>
          <w:tblCellSpacing w:w="15" w:type="dxa"/>
        </w:trPr>
        <w:tc>
          <w:tcPr>
            <w:tcW w:w="0" w:type="auto"/>
            <w:vAlign w:val="center"/>
            <w:hideMark/>
          </w:tcPr>
          <w:p w14:paraId="5486DCC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115/2023, consolidare fiscală</w:t>
            </w:r>
          </w:p>
        </w:tc>
        <w:tc>
          <w:tcPr>
            <w:tcW w:w="0" w:type="auto"/>
            <w:vAlign w:val="center"/>
            <w:hideMark/>
          </w:tcPr>
          <w:p w14:paraId="54D03E1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53E9FD7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Preambulul invocă recomandările privind corectarea deficitului</w:t>
            </w:r>
          </w:p>
        </w:tc>
        <w:tc>
          <w:tcPr>
            <w:tcW w:w="0" w:type="auto"/>
            <w:vAlign w:val="center"/>
            <w:hideMark/>
          </w:tcPr>
          <w:p w14:paraId="52ADE8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Presiune europeană asupra rezultatului</w:t>
            </w:r>
          </w:p>
        </w:tc>
      </w:tr>
      <w:tr w:rsidR="007873B4" w:rsidRPr="007873B4" w14:paraId="54CCE2E9" w14:textId="77777777">
        <w:trPr>
          <w:tblCellSpacing w:w="15" w:type="dxa"/>
        </w:trPr>
        <w:tc>
          <w:tcPr>
            <w:tcW w:w="0" w:type="auto"/>
            <w:vAlign w:val="center"/>
            <w:hideMark/>
          </w:tcPr>
          <w:p w14:paraId="71E2F6E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 facilități IT, construcții, agricultură</w:t>
            </w:r>
          </w:p>
        </w:tc>
        <w:tc>
          <w:tcPr>
            <w:tcW w:w="0" w:type="auto"/>
            <w:vAlign w:val="center"/>
            <w:hideMark/>
          </w:tcPr>
          <w:p w14:paraId="2B279F0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w:t>
            </w:r>
          </w:p>
        </w:tc>
        <w:tc>
          <w:tcPr>
            <w:tcW w:w="0" w:type="auto"/>
            <w:vAlign w:val="center"/>
            <w:hideMark/>
          </w:tcPr>
          <w:p w14:paraId="2A0C29D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prevede reducerea stimulentelor, cu jalon distinct pentru construcții</w:t>
            </w:r>
          </w:p>
        </w:tc>
        <w:tc>
          <w:tcPr>
            <w:tcW w:w="0" w:type="auto"/>
            <w:vAlign w:val="center"/>
            <w:hideMark/>
          </w:tcPr>
          <w:p w14:paraId="2FAE826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Legătură PNRR puternică, aplicarea concretă trebuie diferențiată</w:t>
            </w:r>
          </w:p>
        </w:tc>
      </w:tr>
      <w:tr w:rsidR="007873B4" w:rsidRPr="007873B4" w14:paraId="0E07A554" w14:textId="77777777">
        <w:trPr>
          <w:tblCellSpacing w:w="15" w:type="dxa"/>
        </w:trPr>
        <w:tc>
          <w:tcPr>
            <w:tcW w:w="0" w:type="auto"/>
            <w:vAlign w:val="center"/>
            <w:hideMark/>
          </w:tcPr>
          <w:p w14:paraId="5329E16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 dividende 8 la 10 la sută</w:t>
            </w:r>
          </w:p>
        </w:tc>
        <w:tc>
          <w:tcPr>
            <w:tcW w:w="0" w:type="auto"/>
            <w:vAlign w:val="center"/>
            <w:hideMark/>
          </w:tcPr>
          <w:p w14:paraId="08B927A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w:t>
            </w:r>
          </w:p>
        </w:tc>
        <w:tc>
          <w:tcPr>
            <w:tcW w:w="0" w:type="auto"/>
            <w:vAlign w:val="center"/>
            <w:hideMark/>
          </w:tcPr>
          <w:p w14:paraId="4233E9F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a fost identificată o obligație europeană care să prescrie cota de 10 la sută</w:t>
            </w:r>
          </w:p>
        </w:tc>
        <w:tc>
          <w:tcPr>
            <w:tcW w:w="0" w:type="auto"/>
            <w:vAlign w:val="center"/>
            <w:hideMark/>
          </w:tcPr>
          <w:p w14:paraId="5CA3ABE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Decizie națională</w:t>
            </w:r>
          </w:p>
        </w:tc>
      </w:tr>
      <w:tr w:rsidR="007873B4" w:rsidRPr="007873B4" w14:paraId="247C9DA3" w14:textId="77777777">
        <w:trPr>
          <w:tblCellSpacing w:w="15" w:type="dxa"/>
        </w:trPr>
        <w:tc>
          <w:tcPr>
            <w:tcW w:w="0" w:type="auto"/>
            <w:vAlign w:val="center"/>
            <w:hideMark/>
          </w:tcPr>
          <w:p w14:paraId="565E2F2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 TVA 21 la sută</w:t>
            </w:r>
          </w:p>
        </w:tc>
        <w:tc>
          <w:tcPr>
            <w:tcW w:w="0" w:type="auto"/>
            <w:vAlign w:val="center"/>
            <w:hideMark/>
          </w:tcPr>
          <w:p w14:paraId="7643C86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216B099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Consiliul impune corectarea deficitului și traiectoria fiscală, nu cota TVA</w:t>
            </w:r>
          </w:p>
        </w:tc>
        <w:tc>
          <w:tcPr>
            <w:tcW w:w="0" w:type="auto"/>
            <w:vAlign w:val="center"/>
            <w:hideMark/>
          </w:tcPr>
          <w:p w14:paraId="225B529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Instrument românesc pentru îndeplinirea obligației de rezultat</w:t>
            </w:r>
          </w:p>
        </w:tc>
      </w:tr>
      <w:tr w:rsidR="007873B4" w:rsidRPr="007873B4" w14:paraId="7BFE7FBC" w14:textId="77777777">
        <w:trPr>
          <w:tblCellSpacing w:w="15" w:type="dxa"/>
        </w:trPr>
        <w:tc>
          <w:tcPr>
            <w:tcW w:w="0" w:type="auto"/>
            <w:vAlign w:val="center"/>
            <w:hideMark/>
          </w:tcPr>
          <w:p w14:paraId="5BB838D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 dividende 16 la sută</w:t>
            </w:r>
          </w:p>
        </w:tc>
        <w:tc>
          <w:tcPr>
            <w:tcW w:w="0" w:type="auto"/>
            <w:vAlign w:val="center"/>
            <w:hideMark/>
          </w:tcPr>
          <w:p w14:paraId="4568E2D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63D383C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a fost identificată cerință europeană privind cota de 16 la sută</w:t>
            </w:r>
          </w:p>
        </w:tc>
        <w:tc>
          <w:tcPr>
            <w:tcW w:w="0" w:type="auto"/>
            <w:vAlign w:val="center"/>
            <w:hideMark/>
          </w:tcPr>
          <w:p w14:paraId="44729D0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Decizie națională</w:t>
            </w:r>
          </w:p>
        </w:tc>
      </w:tr>
      <w:tr w:rsidR="007873B4" w:rsidRPr="007873B4" w14:paraId="01DC8A07" w14:textId="77777777">
        <w:trPr>
          <w:tblCellSpacing w:w="15" w:type="dxa"/>
        </w:trPr>
        <w:tc>
          <w:tcPr>
            <w:tcW w:w="0" w:type="auto"/>
            <w:vAlign w:val="center"/>
            <w:hideMark/>
          </w:tcPr>
          <w:p w14:paraId="6D7754F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 CASS și lărgirea bazelor</w:t>
            </w:r>
          </w:p>
        </w:tc>
        <w:tc>
          <w:tcPr>
            <w:tcW w:w="0" w:type="auto"/>
            <w:vAlign w:val="center"/>
            <w:hideMark/>
          </w:tcPr>
          <w:p w14:paraId="160389B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r w:rsidRPr="007873B4">
              <w:rPr>
                <w:rFonts w:ascii="Times New Roman" w:eastAsia="Times New Roman" w:hAnsi="Times New Roman" w:cs="Times New Roman"/>
                <w:kern w:val="0"/>
                <w:lang w:val="ro-RO"/>
                <w14:ligatures w14:val="none"/>
              </w:rPr>
              <w:t>, PNL</w:t>
            </w:r>
          </w:p>
        </w:tc>
        <w:tc>
          <w:tcPr>
            <w:tcW w:w="0" w:type="auto"/>
            <w:vAlign w:val="center"/>
            <w:hideMark/>
          </w:tcPr>
          <w:p w14:paraId="20C7AA7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urmărește corectarea deficitului excesiv</w:t>
            </w:r>
          </w:p>
        </w:tc>
        <w:tc>
          <w:tcPr>
            <w:tcW w:w="0" w:type="auto"/>
            <w:vAlign w:val="center"/>
            <w:hideMark/>
          </w:tcPr>
          <w:p w14:paraId="26E387C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Obligație de rezultat externă, configurație națională</w:t>
            </w:r>
          </w:p>
        </w:tc>
      </w:tr>
    </w:tbl>
    <w:p w14:paraId="04A7F2E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Tabelul este esențial pentru stabilirea responsabilității. El arată că existența unei condiționalități europene nu elimină alegerea politică românească. Microîntreprinderile și facilitățile din construcții au o filiație directă în jaloanele PNRR, în timp ce cotele de 8, 10 și 16 la sută pentru dividende și TVA de 21 la sută nu rezultă, în documentele analizate, ca valori prescrise textual de instituțiile europene.</w:t>
      </w:r>
    </w:p>
    <w:p w14:paraId="3A1D6E65"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4. Jaloanele fiscale 205–208 și transpunerea lor în legislația românească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6"/>
        <w:gridCol w:w="3257"/>
        <w:gridCol w:w="2728"/>
        <w:gridCol w:w="2739"/>
      </w:tblGrid>
      <w:tr w:rsidR="007873B4" w:rsidRPr="007873B4" w14:paraId="3E839AC6" w14:textId="77777777">
        <w:trPr>
          <w:tblCellSpacing w:w="15" w:type="dxa"/>
        </w:trPr>
        <w:tc>
          <w:tcPr>
            <w:tcW w:w="0" w:type="auto"/>
            <w:vAlign w:val="center"/>
            <w:hideMark/>
          </w:tcPr>
          <w:p w14:paraId="1620DC32"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Jalon</w:t>
            </w:r>
          </w:p>
        </w:tc>
        <w:tc>
          <w:tcPr>
            <w:tcW w:w="0" w:type="auto"/>
            <w:vAlign w:val="center"/>
            <w:hideMark/>
          </w:tcPr>
          <w:p w14:paraId="05AC279C"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Conținutul obligației</w:t>
            </w:r>
          </w:p>
        </w:tc>
        <w:tc>
          <w:tcPr>
            <w:tcW w:w="0" w:type="auto"/>
            <w:vAlign w:val="center"/>
            <w:hideMark/>
          </w:tcPr>
          <w:p w14:paraId="38783D0D"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Modalitatea principală de executare</w:t>
            </w:r>
          </w:p>
        </w:tc>
        <w:tc>
          <w:tcPr>
            <w:tcW w:w="0" w:type="auto"/>
            <w:vAlign w:val="center"/>
            <w:hideMark/>
          </w:tcPr>
          <w:p w14:paraId="77CAEA1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Responsabilitate politică și instituțională</w:t>
            </w:r>
          </w:p>
        </w:tc>
      </w:tr>
      <w:tr w:rsidR="007873B4" w:rsidRPr="007873B4" w14:paraId="1134030C" w14:textId="77777777">
        <w:trPr>
          <w:tblCellSpacing w:w="15" w:type="dxa"/>
        </w:trPr>
        <w:tc>
          <w:tcPr>
            <w:tcW w:w="0" w:type="auto"/>
            <w:vAlign w:val="center"/>
            <w:hideMark/>
          </w:tcPr>
          <w:p w14:paraId="59D561B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205</w:t>
            </w:r>
          </w:p>
        </w:tc>
        <w:tc>
          <w:tcPr>
            <w:tcW w:w="0" w:type="auto"/>
            <w:vAlign w:val="center"/>
            <w:hideMark/>
          </w:tcPr>
          <w:p w14:paraId="6A13784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Analiza amplă a sistemului fiscal și formularea unor recomandări privind restructurarea acestuia</w:t>
            </w:r>
          </w:p>
        </w:tc>
        <w:tc>
          <w:tcPr>
            <w:tcW w:w="0" w:type="auto"/>
            <w:vAlign w:val="center"/>
            <w:hideMark/>
          </w:tcPr>
          <w:p w14:paraId="07F96BB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Ministerul Finanțelor </w:t>
            </w:r>
            <w:proofErr w:type="spellStart"/>
            <w:r w:rsidRPr="007873B4">
              <w:rPr>
                <w:rFonts w:ascii="Times New Roman" w:eastAsia="Times New Roman" w:hAnsi="Times New Roman" w:cs="Times New Roman"/>
                <w:kern w:val="0"/>
                <w:lang w:val="ro-RO"/>
                <w14:ligatures w14:val="none"/>
              </w:rPr>
              <w:t>contractează</w:t>
            </w:r>
            <w:proofErr w:type="spellEnd"/>
            <w:r w:rsidRPr="007873B4">
              <w:rPr>
                <w:rFonts w:ascii="Times New Roman" w:eastAsia="Times New Roman" w:hAnsi="Times New Roman" w:cs="Times New Roman"/>
                <w:kern w:val="0"/>
                <w:lang w:val="ro-RO"/>
                <w14:ligatures w14:val="none"/>
              </w:rPr>
              <w:t xml:space="preserve"> Banca Mondială pentru analiza și recomandările fiscale</w:t>
            </w:r>
          </w:p>
        </w:tc>
        <w:tc>
          <w:tcPr>
            <w:tcW w:w="0" w:type="auto"/>
            <w:vAlign w:val="center"/>
            <w:hideMark/>
          </w:tcPr>
          <w:p w14:paraId="06A55ED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Angajament PNRR negociat în 2021, execuție administrativă ulterioară</w:t>
            </w:r>
          </w:p>
        </w:tc>
      </w:tr>
      <w:tr w:rsidR="007873B4" w:rsidRPr="007873B4" w14:paraId="7240F418" w14:textId="77777777">
        <w:trPr>
          <w:tblCellSpacing w:w="15" w:type="dxa"/>
        </w:trPr>
        <w:tc>
          <w:tcPr>
            <w:tcW w:w="0" w:type="auto"/>
            <w:vAlign w:val="center"/>
            <w:hideMark/>
          </w:tcPr>
          <w:p w14:paraId="1365ABE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206</w:t>
            </w:r>
          </w:p>
        </w:tc>
        <w:tc>
          <w:tcPr>
            <w:tcW w:w="0" w:type="auto"/>
            <w:vAlign w:val="center"/>
            <w:hideMark/>
          </w:tcPr>
          <w:p w14:paraId="3E801D1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Reducerea graduală a sferei regimului special al microîntreprinderilor</w:t>
            </w:r>
          </w:p>
        </w:tc>
        <w:tc>
          <w:tcPr>
            <w:tcW w:w="0" w:type="auto"/>
            <w:vAlign w:val="center"/>
            <w:hideMark/>
          </w:tcPr>
          <w:p w14:paraId="53E8342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 Legea nr. 370/2022, Legea nr. 296/2023, OUG nr. 115/2023 și ulterior OUG nr. 156/2024</w:t>
            </w:r>
          </w:p>
        </w:tc>
        <w:tc>
          <w:tcPr>
            <w:tcW w:w="0" w:type="auto"/>
            <w:vAlign w:val="center"/>
            <w:hideMark/>
          </w:tcPr>
          <w:p w14:paraId="0E2666C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Câciu</w:t>
            </w:r>
            <w:proofErr w:type="spellEnd"/>
            <w:r w:rsidRPr="007873B4">
              <w:rPr>
                <w:rFonts w:ascii="Times New Roman" w:eastAsia="Times New Roman" w:hAnsi="Times New Roman" w:cs="Times New Roman"/>
                <w:kern w:val="0"/>
                <w:lang w:val="ro-RO"/>
                <w14:ligatures w14:val="none"/>
              </w:rPr>
              <w:t xml:space="preserve">, PSD, </w:t>
            </w: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PNL,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w:t>
            </w:r>
          </w:p>
        </w:tc>
      </w:tr>
      <w:tr w:rsidR="007873B4" w:rsidRPr="007873B4" w14:paraId="1989CCF7" w14:textId="77777777">
        <w:trPr>
          <w:tblCellSpacing w:w="15" w:type="dxa"/>
        </w:trPr>
        <w:tc>
          <w:tcPr>
            <w:tcW w:w="0" w:type="auto"/>
            <w:vAlign w:val="center"/>
            <w:hideMark/>
          </w:tcPr>
          <w:p w14:paraId="40E131D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207</w:t>
            </w:r>
          </w:p>
        </w:tc>
        <w:tc>
          <w:tcPr>
            <w:tcW w:w="0" w:type="auto"/>
            <w:vAlign w:val="center"/>
            <w:hideMark/>
          </w:tcPr>
          <w:p w14:paraId="1A418EA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Reducerea sau eliminarea altor stimulente fiscale, simplificarea sistemului și dezvoltarea fiscalității verzi</w:t>
            </w:r>
          </w:p>
        </w:tc>
        <w:tc>
          <w:tcPr>
            <w:tcW w:w="0" w:type="auto"/>
            <w:vAlign w:val="center"/>
            <w:hideMark/>
          </w:tcPr>
          <w:p w14:paraId="6009463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Pachetele fiscale 2022–2025 și reducerea unor facilități</w:t>
            </w:r>
          </w:p>
        </w:tc>
        <w:tc>
          <w:tcPr>
            <w:tcW w:w="0" w:type="auto"/>
            <w:vAlign w:val="center"/>
            <w:hideMark/>
          </w:tcPr>
          <w:p w14:paraId="5ED7D81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Mai multe guverne, instrumentele concrete nu rezultă automat din formularea jalonului</w:t>
            </w:r>
          </w:p>
        </w:tc>
      </w:tr>
      <w:tr w:rsidR="007873B4" w:rsidRPr="007873B4" w14:paraId="50B3E359" w14:textId="77777777">
        <w:trPr>
          <w:tblCellSpacing w:w="15" w:type="dxa"/>
        </w:trPr>
        <w:tc>
          <w:tcPr>
            <w:tcW w:w="0" w:type="auto"/>
            <w:vAlign w:val="center"/>
            <w:hideMark/>
          </w:tcPr>
          <w:p w14:paraId="5688D4B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208</w:t>
            </w:r>
          </w:p>
        </w:tc>
        <w:tc>
          <w:tcPr>
            <w:tcW w:w="0" w:type="auto"/>
            <w:vAlign w:val="center"/>
            <w:hideMark/>
          </w:tcPr>
          <w:p w14:paraId="5A54E75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Reducerea graduală a facilităților fiscale pentru personalul din construcții</w:t>
            </w:r>
          </w:p>
        </w:tc>
        <w:tc>
          <w:tcPr>
            <w:tcW w:w="0" w:type="auto"/>
            <w:vAlign w:val="center"/>
            <w:hideMark/>
          </w:tcPr>
          <w:p w14:paraId="063BC84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 și OUG nr. 156/2024</w:t>
            </w:r>
          </w:p>
        </w:tc>
        <w:tc>
          <w:tcPr>
            <w:tcW w:w="0" w:type="auto"/>
            <w:vAlign w:val="center"/>
            <w:hideMark/>
          </w:tcPr>
          <w:p w14:paraId="3E8007B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Boloș</w:t>
            </w:r>
            <w:proofErr w:type="spellEnd"/>
            <w:r w:rsidRPr="007873B4">
              <w:rPr>
                <w:rFonts w:ascii="Times New Roman" w:eastAsia="Times New Roman" w:hAnsi="Times New Roman" w:cs="Times New Roman"/>
                <w:kern w:val="0"/>
                <w:lang w:val="ro-RO"/>
                <w14:ligatures w14:val="none"/>
              </w:rPr>
              <w:t xml:space="preserve">, PNL și </w:t>
            </w: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 UDMR</w:t>
            </w:r>
          </w:p>
        </w:tc>
      </w:tr>
    </w:tbl>
    <w:p w14:paraId="2025A334"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Acest tabel demonstrează continuitatea dintre negocierea PNRR din 2021 și actele fiscale adoptate ulterior de guverne diferite. Jalonul 206 este deosebit de relevant deoarece Comisia enumeră chiar actele normative românești utilizate pentru realizarea sa.</w:t>
      </w:r>
    </w:p>
    <w:p w14:paraId="5EF2BB8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5. Evoluția regimului microîntreprinderilor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4"/>
        <w:gridCol w:w="3507"/>
        <w:gridCol w:w="1712"/>
        <w:gridCol w:w="2867"/>
      </w:tblGrid>
      <w:tr w:rsidR="007873B4" w:rsidRPr="007873B4" w14:paraId="55E4535B" w14:textId="77777777">
        <w:trPr>
          <w:tblCellSpacing w:w="15" w:type="dxa"/>
        </w:trPr>
        <w:tc>
          <w:tcPr>
            <w:tcW w:w="0" w:type="auto"/>
            <w:vAlign w:val="center"/>
            <w:hideMark/>
          </w:tcPr>
          <w:p w14:paraId="21105E3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Etapa</w:t>
            </w:r>
          </w:p>
        </w:tc>
        <w:tc>
          <w:tcPr>
            <w:tcW w:w="0" w:type="auto"/>
            <w:vAlign w:val="center"/>
            <w:hideMark/>
          </w:tcPr>
          <w:p w14:paraId="0BFB44B7"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Regimul sau plafonul relevant</w:t>
            </w:r>
          </w:p>
        </w:tc>
        <w:tc>
          <w:tcPr>
            <w:tcW w:w="0" w:type="auto"/>
            <w:vAlign w:val="center"/>
            <w:hideMark/>
          </w:tcPr>
          <w:p w14:paraId="4187E710"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Actul principal</w:t>
            </w:r>
          </w:p>
        </w:tc>
        <w:tc>
          <w:tcPr>
            <w:tcW w:w="0" w:type="auto"/>
            <w:vAlign w:val="center"/>
            <w:hideMark/>
          </w:tcPr>
          <w:p w14:paraId="15B82EB3"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Natura modificării</w:t>
            </w:r>
          </w:p>
        </w:tc>
      </w:tr>
      <w:tr w:rsidR="007873B4" w:rsidRPr="007873B4" w14:paraId="209A6AE6" w14:textId="77777777">
        <w:trPr>
          <w:tblCellSpacing w:w="15" w:type="dxa"/>
        </w:trPr>
        <w:tc>
          <w:tcPr>
            <w:tcW w:w="0" w:type="auto"/>
            <w:vAlign w:val="center"/>
            <w:hideMark/>
          </w:tcPr>
          <w:p w14:paraId="335EAB1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înainte de reforma 2022</w:t>
            </w:r>
          </w:p>
        </w:tc>
        <w:tc>
          <w:tcPr>
            <w:tcW w:w="0" w:type="auto"/>
            <w:vAlign w:val="center"/>
            <w:hideMark/>
          </w:tcPr>
          <w:p w14:paraId="51D673C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plafon de 1.000.000 euro</w:t>
            </w:r>
          </w:p>
        </w:tc>
        <w:tc>
          <w:tcPr>
            <w:tcW w:w="0" w:type="auto"/>
            <w:vAlign w:val="center"/>
            <w:hideMark/>
          </w:tcPr>
          <w:p w14:paraId="2B25BFF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Codul fiscal anterior</w:t>
            </w:r>
          </w:p>
        </w:tc>
        <w:tc>
          <w:tcPr>
            <w:tcW w:w="0" w:type="auto"/>
            <w:vAlign w:val="center"/>
            <w:hideMark/>
          </w:tcPr>
          <w:p w14:paraId="6242328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Regim special cu sferă largă</w:t>
            </w:r>
          </w:p>
        </w:tc>
      </w:tr>
      <w:tr w:rsidR="007873B4" w:rsidRPr="007873B4" w14:paraId="1473999F" w14:textId="77777777">
        <w:trPr>
          <w:tblCellSpacing w:w="15" w:type="dxa"/>
        </w:trPr>
        <w:tc>
          <w:tcPr>
            <w:tcW w:w="0" w:type="auto"/>
            <w:vAlign w:val="center"/>
            <w:hideMark/>
          </w:tcPr>
          <w:p w14:paraId="5F03AFF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2022</w:t>
            </w:r>
          </w:p>
        </w:tc>
        <w:tc>
          <w:tcPr>
            <w:tcW w:w="0" w:type="auto"/>
            <w:vAlign w:val="center"/>
            <w:hideMark/>
          </w:tcPr>
          <w:p w14:paraId="2B81F88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plafon redus la 500.000 euro</w:t>
            </w:r>
          </w:p>
        </w:tc>
        <w:tc>
          <w:tcPr>
            <w:tcW w:w="0" w:type="auto"/>
            <w:vAlign w:val="center"/>
            <w:hideMark/>
          </w:tcPr>
          <w:p w14:paraId="342871E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w:t>
            </w:r>
          </w:p>
        </w:tc>
        <w:tc>
          <w:tcPr>
            <w:tcW w:w="0" w:type="auto"/>
            <w:vAlign w:val="center"/>
            <w:hideMark/>
          </w:tcPr>
          <w:p w14:paraId="0EA614A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Prima reducere majoră în realizarea jalonului 206</w:t>
            </w:r>
          </w:p>
        </w:tc>
      </w:tr>
      <w:tr w:rsidR="007873B4" w:rsidRPr="007873B4" w14:paraId="357D97FF" w14:textId="77777777">
        <w:trPr>
          <w:tblCellSpacing w:w="15" w:type="dxa"/>
        </w:trPr>
        <w:tc>
          <w:tcPr>
            <w:tcW w:w="0" w:type="auto"/>
            <w:vAlign w:val="center"/>
            <w:hideMark/>
          </w:tcPr>
          <w:p w14:paraId="31D936C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2023</w:t>
            </w:r>
          </w:p>
        </w:tc>
        <w:tc>
          <w:tcPr>
            <w:tcW w:w="0" w:type="auto"/>
            <w:vAlign w:val="center"/>
            <w:hideMark/>
          </w:tcPr>
          <w:p w14:paraId="7516B40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diferențiere 1 și 3 la sută și prag de 60.000 euro pentru aplicarea cotei majorate în condițiile legii</w:t>
            </w:r>
          </w:p>
        </w:tc>
        <w:tc>
          <w:tcPr>
            <w:tcW w:w="0" w:type="auto"/>
            <w:vAlign w:val="center"/>
            <w:hideMark/>
          </w:tcPr>
          <w:p w14:paraId="03062F1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296/2023</w:t>
            </w:r>
          </w:p>
        </w:tc>
        <w:tc>
          <w:tcPr>
            <w:tcW w:w="0" w:type="auto"/>
            <w:vAlign w:val="center"/>
            <w:hideMark/>
          </w:tcPr>
          <w:p w14:paraId="1F4858A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Restrângerea suplimentară și diferențierea regimului</w:t>
            </w:r>
          </w:p>
        </w:tc>
      </w:tr>
      <w:tr w:rsidR="007873B4" w:rsidRPr="007873B4" w14:paraId="6B31DCEE" w14:textId="77777777">
        <w:trPr>
          <w:tblCellSpacing w:w="15" w:type="dxa"/>
        </w:trPr>
        <w:tc>
          <w:tcPr>
            <w:tcW w:w="0" w:type="auto"/>
            <w:vAlign w:val="center"/>
            <w:hideMark/>
          </w:tcPr>
          <w:p w14:paraId="2E3CEB4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2024–2025</w:t>
            </w:r>
          </w:p>
        </w:tc>
        <w:tc>
          <w:tcPr>
            <w:tcW w:w="0" w:type="auto"/>
            <w:vAlign w:val="center"/>
            <w:hideMark/>
          </w:tcPr>
          <w:p w14:paraId="7219D96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continuarea restricțiilor și reducerea plafonului</w:t>
            </w:r>
          </w:p>
        </w:tc>
        <w:tc>
          <w:tcPr>
            <w:tcW w:w="0" w:type="auto"/>
            <w:vAlign w:val="center"/>
            <w:hideMark/>
          </w:tcPr>
          <w:p w14:paraId="64B543F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w:t>
            </w:r>
          </w:p>
        </w:tc>
        <w:tc>
          <w:tcPr>
            <w:tcW w:w="0" w:type="auto"/>
            <w:vAlign w:val="center"/>
            <w:hideMark/>
          </w:tcPr>
          <w:p w14:paraId="18FE348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Continuarea reformei</w:t>
            </w:r>
          </w:p>
        </w:tc>
      </w:tr>
      <w:tr w:rsidR="007873B4" w:rsidRPr="007873B4" w14:paraId="4D949439" w14:textId="77777777">
        <w:trPr>
          <w:tblCellSpacing w:w="15" w:type="dxa"/>
        </w:trPr>
        <w:tc>
          <w:tcPr>
            <w:tcW w:w="0" w:type="auto"/>
            <w:vAlign w:val="center"/>
            <w:hideMark/>
          </w:tcPr>
          <w:p w14:paraId="72F5980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2025</w:t>
            </w:r>
          </w:p>
        </w:tc>
        <w:tc>
          <w:tcPr>
            <w:tcW w:w="0" w:type="auto"/>
            <w:vAlign w:val="center"/>
            <w:hideMark/>
          </w:tcPr>
          <w:p w14:paraId="52D5872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plafon de 250.000 euro</w:t>
            </w:r>
          </w:p>
        </w:tc>
        <w:tc>
          <w:tcPr>
            <w:tcW w:w="0" w:type="auto"/>
            <w:vAlign w:val="center"/>
            <w:hideMark/>
          </w:tcPr>
          <w:p w14:paraId="64AFAC5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w:t>
            </w:r>
          </w:p>
        </w:tc>
        <w:tc>
          <w:tcPr>
            <w:tcW w:w="0" w:type="auto"/>
            <w:vAlign w:val="center"/>
            <w:hideMark/>
          </w:tcPr>
          <w:p w14:paraId="4272EA5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Etapă intermediară</w:t>
            </w:r>
          </w:p>
        </w:tc>
      </w:tr>
      <w:tr w:rsidR="007873B4" w:rsidRPr="007873B4" w14:paraId="5D2CC8F6" w14:textId="77777777">
        <w:trPr>
          <w:tblCellSpacing w:w="15" w:type="dxa"/>
        </w:trPr>
        <w:tc>
          <w:tcPr>
            <w:tcW w:w="0" w:type="auto"/>
            <w:vAlign w:val="center"/>
            <w:hideMark/>
          </w:tcPr>
          <w:p w14:paraId="5807244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2026</w:t>
            </w:r>
          </w:p>
        </w:tc>
        <w:tc>
          <w:tcPr>
            <w:tcW w:w="0" w:type="auto"/>
            <w:vAlign w:val="center"/>
            <w:hideMark/>
          </w:tcPr>
          <w:p w14:paraId="25077BE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plafon de 100.000 euro</w:t>
            </w:r>
          </w:p>
        </w:tc>
        <w:tc>
          <w:tcPr>
            <w:tcW w:w="0" w:type="auto"/>
            <w:vAlign w:val="center"/>
            <w:hideMark/>
          </w:tcPr>
          <w:p w14:paraId="2B292B0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 și cadrul ulterior</w:t>
            </w:r>
          </w:p>
        </w:tc>
        <w:tc>
          <w:tcPr>
            <w:tcW w:w="0" w:type="auto"/>
            <w:vAlign w:val="center"/>
            <w:hideMark/>
          </w:tcPr>
          <w:p w14:paraId="65648AC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Apropierea regimului de direcția recomandată în evaluările ulterioare</w:t>
            </w:r>
          </w:p>
        </w:tc>
      </w:tr>
    </w:tbl>
    <w:p w14:paraId="1A2668F3"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Regimul microîntreprinderilor oferă unul dintre cele mai clare exemple ale unui angajament negociat prin PNRR care continuă să fie executat de miniștri și partide diferite. PNRR stabilește direcția reducerii, în timp ce autoritățile române stabilesc pragurile, cotele și condițiile concrete.</w:t>
      </w:r>
    </w:p>
    <w:p w14:paraId="4E94F51D"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6. Evoluția impozitului pe dividende și natura deciziei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4"/>
        <w:gridCol w:w="931"/>
        <w:gridCol w:w="1911"/>
        <w:gridCol w:w="4414"/>
      </w:tblGrid>
      <w:tr w:rsidR="007873B4" w:rsidRPr="007873B4" w14:paraId="1A02D860" w14:textId="77777777">
        <w:trPr>
          <w:tblCellSpacing w:w="15" w:type="dxa"/>
        </w:trPr>
        <w:tc>
          <w:tcPr>
            <w:tcW w:w="0" w:type="auto"/>
            <w:vAlign w:val="center"/>
            <w:hideMark/>
          </w:tcPr>
          <w:p w14:paraId="438C3446"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Perioada</w:t>
            </w:r>
          </w:p>
        </w:tc>
        <w:tc>
          <w:tcPr>
            <w:tcW w:w="0" w:type="auto"/>
            <w:vAlign w:val="center"/>
            <w:hideMark/>
          </w:tcPr>
          <w:p w14:paraId="74BE39FE"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Cotă</w:t>
            </w:r>
          </w:p>
        </w:tc>
        <w:tc>
          <w:tcPr>
            <w:tcW w:w="0" w:type="auto"/>
            <w:vAlign w:val="center"/>
            <w:hideMark/>
          </w:tcPr>
          <w:p w14:paraId="40C3B9F0"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 sau etapă</w:t>
            </w:r>
          </w:p>
        </w:tc>
        <w:tc>
          <w:tcPr>
            <w:tcW w:w="0" w:type="auto"/>
            <w:vAlign w:val="center"/>
            <w:hideMark/>
          </w:tcPr>
          <w:p w14:paraId="2FC0FEFC"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Originea identificată</w:t>
            </w:r>
          </w:p>
        </w:tc>
      </w:tr>
      <w:tr w:rsidR="007873B4" w:rsidRPr="007873B4" w14:paraId="0B239432" w14:textId="77777777">
        <w:trPr>
          <w:tblCellSpacing w:w="15" w:type="dxa"/>
        </w:trPr>
        <w:tc>
          <w:tcPr>
            <w:tcW w:w="0" w:type="auto"/>
            <w:vAlign w:val="center"/>
            <w:hideMark/>
          </w:tcPr>
          <w:p w14:paraId="7A3391A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anterior reformei 2022</w:t>
            </w:r>
          </w:p>
        </w:tc>
        <w:tc>
          <w:tcPr>
            <w:tcW w:w="0" w:type="auto"/>
            <w:vAlign w:val="center"/>
            <w:hideMark/>
          </w:tcPr>
          <w:p w14:paraId="27675EA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5 la sută</w:t>
            </w:r>
          </w:p>
        </w:tc>
        <w:tc>
          <w:tcPr>
            <w:tcW w:w="0" w:type="auto"/>
            <w:vAlign w:val="center"/>
            <w:hideMark/>
          </w:tcPr>
          <w:p w14:paraId="43A7F6E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Codul fiscal anterior</w:t>
            </w:r>
          </w:p>
        </w:tc>
        <w:tc>
          <w:tcPr>
            <w:tcW w:w="0" w:type="auto"/>
            <w:vAlign w:val="center"/>
            <w:hideMark/>
          </w:tcPr>
          <w:p w14:paraId="1DB6DC0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Regim național</w:t>
            </w:r>
          </w:p>
        </w:tc>
      </w:tr>
      <w:tr w:rsidR="007873B4" w:rsidRPr="007873B4" w14:paraId="0F5B2F48" w14:textId="77777777">
        <w:trPr>
          <w:tblCellSpacing w:w="15" w:type="dxa"/>
        </w:trPr>
        <w:tc>
          <w:tcPr>
            <w:tcW w:w="0" w:type="auto"/>
            <w:vAlign w:val="center"/>
            <w:hideMark/>
          </w:tcPr>
          <w:p w14:paraId="6EF8F69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2022</w:t>
            </w:r>
          </w:p>
        </w:tc>
        <w:tc>
          <w:tcPr>
            <w:tcW w:w="0" w:type="auto"/>
            <w:vAlign w:val="center"/>
            <w:hideMark/>
          </w:tcPr>
          <w:p w14:paraId="6019C49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8 la sută</w:t>
            </w:r>
          </w:p>
        </w:tc>
        <w:tc>
          <w:tcPr>
            <w:tcW w:w="0" w:type="auto"/>
            <w:vAlign w:val="center"/>
            <w:hideMark/>
          </w:tcPr>
          <w:p w14:paraId="5796DF4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OG nr. 16/2022</w:t>
            </w:r>
          </w:p>
        </w:tc>
        <w:tc>
          <w:tcPr>
            <w:tcW w:w="0" w:type="auto"/>
            <w:vAlign w:val="center"/>
            <w:hideMark/>
          </w:tcPr>
          <w:p w14:paraId="52011A4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Decizie națională în cadrul reformei fiscale</w:t>
            </w:r>
          </w:p>
        </w:tc>
      </w:tr>
      <w:tr w:rsidR="007873B4" w:rsidRPr="007873B4" w14:paraId="19CCB4EF" w14:textId="77777777">
        <w:trPr>
          <w:tblCellSpacing w:w="15" w:type="dxa"/>
        </w:trPr>
        <w:tc>
          <w:tcPr>
            <w:tcW w:w="0" w:type="auto"/>
            <w:vAlign w:val="center"/>
            <w:hideMark/>
          </w:tcPr>
          <w:p w14:paraId="383183D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2024–2025</w:t>
            </w:r>
          </w:p>
        </w:tc>
        <w:tc>
          <w:tcPr>
            <w:tcW w:w="0" w:type="auto"/>
            <w:vAlign w:val="center"/>
            <w:hideMark/>
          </w:tcPr>
          <w:p w14:paraId="5E9ADEA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10 la sută</w:t>
            </w:r>
          </w:p>
        </w:tc>
        <w:tc>
          <w:tcPr>
            <w:tcW w:w="0" w:type="auto"/>
            <w:vAlign w:val="center"/>
            <w:hideMark/>
          </w:tcPr>
          <w:p w14:paraId="765BFAC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OUG nr. 156/2024</w:t>
            </w:r>
          </w:p>
        </w:tc>
        <w:tc>
          <w:tcPr>
            <w:tcW w:w="0" w:type="auto"/>
            <w:vAlign w:val="center"/>
            <w:hideMark/>
          </w:tcPr>
          <w:p w14:paraId="41B00C1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Decizie națională de creștere a veniturilor</w:t>
            </w:r>
          </w:p>
        </w:tc>
      </w:tr>
      <w:tr w:rsidR="007873B4" w:rsidRPr="007873B4" w14:paraId="233CD164" w14:textId="77777777">
        <w:trPr>
          <w:tblCellSpacing w:w="15" w:type="dxa"/>
        </w:trPr>
        <w:tc>
          <w:tcPr>
            <w:tcW w:w="0" w:type="auto"/>
            <w:vAlign w:val="center"/>
            <w:hideMark/>
          </w:tcPr>
          <w:p w14:paraId="5D4601D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 la 2026</w:t>
            </w:r>
          </w:p>
        </w:tc>
        <w:tc>
          <w:tcPr>
            <w:tcW w:w="0" w:type="auto"/>
            <w:vAlign w:val="center"/>
            <w:hideMark/>
          </w:tcPr>
          <w:p w14:paraId="61C1D78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16 la sută</w:t>
            </w:r>
          </w:p>
        </w:tc>
        <w:tc>
          <w:tcPr>
            <w:tcW w:w="0" w:type="auto"/>
            <w:vAlign w:val="center"/>
            <w:hideMark/>
          </w:tcPr>
          <w:p w14:paraId="6476D70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Legea nr. 141/2025</w:t>
            </w:r>
          </w:p>
        </w:tc>
        <w:tc>
          <w:tcPr>
            <w:tcW w:w="0" w:type="auto"/>
            <w:vAlign w:val="center"/>
            <w:hideMark/>
          </w:tcPr>
          <w:p w14:paraId="3E24C23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Decizie națională în contextul consolidării fiscale</w:t>
            </w:r>
          </w:p>
        </w:tc>
      </w:tr>
    </w:tbl>
    <w:p w14:paraId="6F39AF6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Spre deosebire de reducerea regimului micro, nu a fost identificată în documentele analizate o cerință europeană care să stabilească textual succesiunea cotelor de 8, 10 și 16 la sută. Contextul consolidării este european și național, dar nivelul concret al cotelor aparține deciziei legislative românești.</w:t>
      </w:r>
    </w:p>
    <w:p w14:paraId="130A3C70"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7. TVA și diferența dintre obligația de rezultat și instrumentul național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4"/>
        <w:gridCol w:w="1962"/>
        <w:gridCol w:w="2693"/>
        <w:gridCol w:w="3561"/>
      </w:tblGrid>
      <w:tr w:rsidR="007873B4" w:rsidRPr="007873B4" w14:paraId="403C8D68" w14:textId="77777777">
        <w:trPr>
          <w:tblCellSpacing w:w="15" w:type="dxa"/>
        </w:trPr>
        <w:tc>
          <w:tcPr>
            <w:tcW w:w="0" w:type="auto"/>
            <w:vAlign w:val="center"/>
            <w:hideMark/>
          </w:tcPr>
          <w:p w14:paraId="0ABD55A7"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Element</w:t>
            </w:r>
          </w:p>
        </w:tc>
        <w:tc>
          <w:tcPr>
            <w:tcW w:w="0" w:type="auto"/>
            <w:vAlign w:val="center"/>
            <w:hideMark/>
          </w:tcPr>
          <w:p w14:paraId="1C8BADA7"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Situația anterioară</w:t>
            </w:r>
          </w:p>
        </w:tc>
        <w:tc>
          <w:tcPr>
            <w:tcW w:w="0" w:type="auto"/>
            <w:vAlign w:val="center"/>
            <w:hideMark/>
          </w:tcPr>
          <w:p w14:paraId="3591AC2C"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Reforma</w:t>
            </w:r>
          </w:p>
        </w:tc>
        <w:tc>
          <w:tcPr>
            <w:tcW w:w="0" w:type="auto"/>
            <w:vAlign w:val="center"/>
            <w:hideMark/>
          </w:tcPr>
          <w:p w14:paraId="3086D8EB"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Originea obligației</w:t>
            </w:r>
          </w:p>
        </w:tc>
      </w:tr>
      <w:tr w:rsidR="007873B4" w:rsidRPr="007873B4" w14:paraId="0783B0A7" w14:textId="77777777">
        <w:trPr>
          <w:tblCellSpacing w:w="15" w:type="dxa"/>
        </w:trPr>
        <w:tc>
          <w:tcPr>
            <w:tcW w:w="0" w:type="auto"/>
            <w:vAlign w:val="center"/>
            <w:hideMark/>
          </w:tcPr>
          <w:p w14:paraId="6E09A70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TVA standard</w:t>
            </w:r>
          </w:p>
        </w:tc>
        <w:tc>
          <w:tcPr>
            <w:tcW w:w="0" w:type="auto"/>
            <w:vAlign w:val="center"/>
            <w:hideMark/>
          </w:tcPr>
          <w:p w14:paraId="035A502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19 la sută</w:t>
            </w:r>
          </w:p>
        </w:tc>
        <w:tc>
          <w:tcPr>
            <w:tcW w:w="0" w:type="auto"/>
            <w:vAlign w:val="center"/>
            <w:hideMark/>
          </w:tcPr>
          <w:p w14:paraId="3AC1A51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21 la sută prin Legea nr. 141/2025</w:t>
            </w:r>
          </w:p>
        </w:tc>
        <w:tc>
          <w:tcPr>
            <w:tcW w:w="0" w:type="auto"/>
            <w:vAlign w:val="center"/>
            <w:hideMark/>
          </w:tcPr>
          <w:p w14:paraId="31E70A5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Nu a fost identificată o cerință europeană care să prescrie cota de 21 la sută</w:t>
            </w:r>
          </w:p>
        </w:tc>
      </w:tr>
      <w:tr w:rsidR="007873B4" w:rsidRPr="007873B4" w14:paraId="1C1107A4" w14:textId="77777777">
        <w:trPr>
          <w:tblCellSpacing w:w="15" w:type="dxa"/>
        </w:trPr>
        <w:tc>
          <w:tcPr>
            <w:tcW w:w="0" w:type="auto"/>
            <w:vAlign w:val="center"/>
            <w:hideMark/>
          </w:tcPr>
          <w:p w14:paraId="621CA75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Cotele reduse</w:t>
            </w:r>
          </w:p>
        </w:tc>
        <w:tc>
          <w:tcPr>
            <w:tcW w:w="0" w:type="auto"/>
            <w:vAlign w:val="center"/>
            <w:hideMark/>
          </w:tcPr>
          <w:p w14:paraId="004DC3E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sistem anterior cu mai multe cote</w:t>
            </w:r>
          </w:p>
        </w:tc>
        <w:tc>
          <w:tcPr>
            <w:tcW w:w="0" w:type="auto"/>
            <w:vAlign w:val="center"/>
            <w:hideMark/>
          </w:tcPr>
          <w:p w14:paraId="426126F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restructurare și cotă redusă principală de 11 la sută</w:t>
            </w:r>
          </w:p>
        </w:tc>
        <w:tc>
          <w:tcPr>
            <w:tcW w:w="0" w:type="auto"/>
            <w:vAlign w:val="center"/>
            <w:hideMark/>
          </w:tcPr>
          <w:p w14:paraId="2420DED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Instrument ales în cadrul pachetului național de consolidare</w:t>
            </w:r>
          </w:p>
        </w:tc>
      </w:tr>
      <w:tr w:rsidR="007873B4" w:rsidRPr="007873B4" w14:paraId="61680130" w14:textId="77777777">
        <w:trPr>
          <w:tblCellSpacing w:w="15" w:type="dxa"/>
        </w:trPr>
        <w:tc>
          <w:tcPr>
            <w:tcW w:w="0" w:type="auto"/>
            <w:vAlign w:val="center"/>
            <w:hideMark/>
          </w:tcPr>
          <w:p w14:paraId="545EE0E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Obiectiv fiscal</w:t>
            </w:r>
          </w:p>
        </w:tc>
        <w:tc>
          <w:tcPr>
            <w:tcW w:w="0" w:type="auto"/>
            <w:vAlign w:val="center"/>
            <w:hideMark/>
          </w:tcPr>
          <w:p w14:paraId="56E65B2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deficit ridicat</w:t>
            </w:r>
          </w:p>
        </w:tc>
        <w:tc>
          <w:tcPr>
            <w:tcW w:w="0" w:type="auto"/>
            <w:vAlign w:val="center"/>
            <w:hideMark/>
          </w:tcPr>
          <w:p w14:paraId="5E43B63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ajustare fiscală cuantificată</w:t>
            </w:r>
          </w:p>
        </w:tc>
        <w:tc>
          <w:tcPr>
            <w:tcW w:w="0" w:type="auto"/>
            <w:vAlign w:val="center"/>
            <w:hideMark/>
          </w:tcPr>
          <w:p w14:paraId="66B24E0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Consiliul UE și cadrul de deficit excesiv stabilesc rezultatul fiscal</w:t>
            </w:r>
          </w:p>
        </w:tc>
      </w:tr>
    </w:tbl>
    <w:p w14:paraId="6E027370"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În cazul TVA, responsabilitatea poate fi delimitată clar. Instituțiile europene cer României corectarea deficitului și respectarea unei traiectorii fiscale. Autoritățile române aleg majorarea TVA la 21 la sută ca unul dintre instrumentele utilizate pentru obținerea rezultatului.</w:t>
      </w:r>
    </w:p>
    <w:p w14:paraId="6F138A31"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8. Cele trei surse principale ale condiționalității și influenței asupra reformei fiscale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9"/>
        <w:gridCol w:w="1978"/>
        <w:gridCol w:w="2158"/>
        <w:gridCol w:w="3475"/>
      </w:tblGrid>
      <w:tr w:rsidR="007873B4" w:rsidRPr="007873B4" w14:paraId="4CACE5C4" w14:textId="77777777">
        <w:trPr>
          <w:tblCellSpacing w:w="15" w:type="dxa"/>
        </w:trPr>
        <w:tc>
          <w:tcPr>
            <w:tcW w:w="0" w:type="auto"/>
            <w:vAlign w:val="center"/>
            <w:hideMark/>
          </w:tcPr>
          <w:p w14:paraId="5BA97967"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Sursa</w:t>
            </w:r>
          </w:p>
        </w:tc>
        <w:tc>
          <w:tcPr>
            <w:tcW w:w="0" w:type="auto"/>
            <w:vAlign w:val="center"/>
            <w:hideMark/>
          </w:tcPr>
          <w:p w14:paraId="0FA34B26"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Natura intervenției</w:t>
            </w:r>
          </w:p>
        </w:tc>
        <w:tc>
          <w:tcPr>
            <w:tcW w:w="0" w:type="auto"/>
            <w:vAlign w:val="center"/>
            <w:hideMark/>
          </w:tcPr>
          <w:p w14:paraId="0686A56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Instrumentul</w:t>
            </w:r>
          </w:p>
        </w:tc>
        <w:tc>
          <w:tcPr>
            <w:tcW w:w="0" w:type="auto"/>
            <w:vAlign w:val="center"/>
            <w:hideMark/>
          </w:tcPr>
          <w:p w14:paraId="76844DE3"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Efectul asupra României</w:t>
            </w:r>
          </w:p>
        </w:tc>
      </w:tr>
      <w:tr w:rsidR="007873B4" w:rsidRPr="007873B4" w14:paraId="019BE11C" w14:textId="77777777">
        <w:trPr>
          <w:tblCellSpacing w:w="15" w:type="dxa"/>
        </w:trPr>
        <w:tc>
          <w:tcPr>
            <w:tcW w:w="0" w:type="auto"/>
            <w:vAlign w:val="center"/>
            <w:hideMark/>
          </w:tcPr>
          <w:p w14:paraId="1FF7640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w:t>
            </w:r>
          </w:p>
        </w:tc>
        <w:tc>
          <w:tcPr>
            <w:tcW w:w="0" w:type="auto"/>
            <w:vAlign w:val="center"/>
            <w:hideMark/>
          </w:tcPr>
          <w:p w14:paraId="70C6040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Condiționalitate negociată și financiară</w:t>
            </w:r>
          </w:p>
        </w:tc>
        <w:tc>
          <w:tcPr>
            <w:tcW w:w="0" w:type="auto"/>
            <w:vAlign w:val="center"/>
            <w:hideMark/>
          </w:tcPr>
          <w:p w14:paraId="7794D74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Jaloane și ținte</w:t>
            </w:r>
          </w:p>
        </w:tc>
        <w:tc>
          <w:tcPr>
            <w:tcW w:w="0" w:type="auto"/>
            <w:vAlign w:val="center"/>
            <w:hideMark/>
          </w:tcPr>
          <w:p w14:paraId="2412D5A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Accesul la finanțare este legat de realizarea reformelor asumate</w:t>
            </w:r>
          </w:p>
        </w:tc>
      </w:tr>
      <w:tr w:rsidR="007873B4" w:rsidRPr="007873B4" w14:paraId="317D0A59" w14:textId="77777777">
        <w:trPr>
          <w:tblCellSpacing w:w="15" w:type="dxa"/>
        </w:trPr>
        <w:tc>
          <w:tcPr>
            <w:tcW w:w="0" w:type="auto"/>
            <w:vAlign w:val="center"/>
            <w:hideMark/>
          </w:tcPr>
          <w:p w14:paraId="5417966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Banca Mondială</w:t>
            </w:r>
          </w:p>
        </w:tc>
        <w:tc>
          <w:tcPr>
            <w:tcW w:w="0" w:type="auto"/>
            <w:vAlign w:val="center"/>
            <w:hideMark/>
          </w:tcPr>
          <w:p w14:paraId="27F3010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Expertiză și model tehnic</w:t>
            </w:r>
          </w:p>
        </w:tc>
        <w:tc>
          <w:tcPr>
            <w:tcW w:w="0" w:type="auto"/>
            <w:vAlign w:val="center"/>
            <w:hideMark/>
          </w:tcPr>
          <w:p w14:paraId="307C6E7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Contract de consultanță cu Ministerul Finanțelor</w:t>
            </w:r>
          </w:p>
        </w:tc>
        <w:tc>
          <w:tcPr>
            <w:tcW w:w="0" w:type="auto"/>
            <w:vAlign w:val="center"/>
            <w:hideMark/>
          </w:tcPr>
          <w:p w14:paraId="30A7D40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Recomandări privind microîntreprinderile, proprietatea, contribuțiile, capitalul și fiscalitatea verde</w:t>
            </w:r>
          </w:p>
        </w:tc>
      </w:tr>
      <w:tr w:rsidR="007873B4" w:rsidRPr="007873B4" w14:paraId="3D4E374A" w14:textId="77777777">
        <w:trPr>
          <w:tblCellSpacing w:w="15" w:type="dxa"/>
        </w:trPr>
        <w:tc>
          <w:tcPr>
            <w:tcW w:w="0" w:type="auto"/>
            <w:vAlign w:val="center"/>
            <w:hideMark/>
          </w:tcPr>
          <w:p w14:paraId="2502C5F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Procedura de deficit excesiv și </w:t>
            </w:r>
            <w:r w:rsidRPr="007873B4">
              <w:rPr>
                <w:rFonts w:ascii="Times New Roman" w:eastAsia="Times New Roman" w:hAnsi="Times New Roman" w:cs="Times New Roman"/>
                <w:kern w:val="0"/>
                <w:lang w:val="ro-RO"/>
                <w14:ligatures w14:val="none"/>
              </w:rPr>
              <w:lastRenderedPageBreak/>
              <w:t>planul fiscal-structural</w:t>
            </w:r>
          </w:p>
        </w:tc>
        <w:tc>
          <w:tcPr>
            <w:tcW w:w="0" w:type="auto"/>
            <w:vAlign w:val="center"/>
            <w:hideMark/>
          </w:tcPr>
          <w:p w14:paraId="767128B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Obligație asupra rezultatului fiscal</w:t>
            </w:r>
          </w:p>
        </w:tc>
        <w:tc>
          <w:tcPr>
            <w:tcW w:w="0" w:type="auto"/>
            <w:vAlign w:val="center"/>
            <w:hideMark/>
          </w:tcPr>
          <w:p w14:paraId="6E34A13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Traiectorie privind deficitul, cheltuielile și efectul măsurilor</w:t>
            </w:r>
          </w:p>
        </w:tc>
        <w:tc>
          <w:tcPr>
            <w:tcW w:w="0" w:type="auto"/>
            <w:vAlign w:val="center"/>
            <w:hideMark/>
          </w:tcPr>
          <w:p w14:paraId="741AA58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Reduce libertatea privind dimensiunea ajustării, dar lasă în </w:t>
            </w:r>
            <w:r w:rsidRPr="007873B4">
              <w:rPr>
                <w:rFonts w:ascii="Times New Roman" w:eastAsia="Times New Roman" w:hAnsi="Times New Roman" w:cs="Times New Roman"/>
                <w:kern w:val="0"/>
                <w:lang w:val="ro-RO"/>
                <w14:ligatures w14:val="none"/>
              </w:rPr>
              <w:lastRenderedPageBreak/>
              <w:t>mare măsură Guvernului alegerea instrumentelor</w:t>
            </w:r>
          </w:p>
        </w:tc>
      </w:tr>
    </w:tbl>
    <w:p w14:paraId="7CABF1B6"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Explicație. Cele trei mecanisme nu trebuie confundate. PNRR conține angajamente negociate, Banca Mondială furnizează expertiza tehnică solicitată de Ministerul Finanțelor, iar procedura de deficit excesiv condiționează rezultatul fiscal. Suprapunerea lor explică o parte importantă din continuitatea reformei 2021–2026.</w:t>
      </w:r>
    </w:p>
    <w:p w14:paraId="6B64DF88"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9. Lanțul instituțional al reformei fiscale românești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6"/>
        <w:gridCol w:w="2312"/>
        <w:gridCol w:w="4812"/>
      </w:tblGrid>
      <w:tr w:rsidR="007873B4" w:rsidRPr="007873B4" w14:paraId="4F32FE16" w14:textId="77777777">
        <w:trPr>
          <w:tblCellSpacing w:w="15" w:type="dxa"/>
        </w:trPr>
        <w:tc>
          <w:tcPr>
            <w:tcW w:w="0" w:type="auto"/>
            <w:vAlign w:val="center"/>
            <w:hideMark/>
          </w:tcPr>
          <w:p w14:paraId="17E04D89"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Nivel</w:t>
            </w:r>
          </w:p>
        </w:tc>
        <w:tc>
          <w:tcPr>
            <w:tcW w:w="0" w:type="auto"/>
            <w:vAlign w:val="center"/>
            <w:hideMark/>
          </w:tcPr>
          <w:p w14:paraId="130B2E41"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Instituție sau actor</w:t>
            </w:r>
          </w:p>
        </w:tc>
        <w:tc>
          <w:tcPr>
            <w:tcW w:w="0" w:type="auto"/>
            <w:vAlign w:val="center"/>
            <w:hideMark/>
          </w:tcPr>
          <w:p w14:paraId="2EFA30E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Funcția principală</w:t>
            </w:r>
          </w:p>
        </w:tc>
      </w:tr>
      <w:tr w:rsidR="007873B4" w:rsidRPr="007873B4" w14:paraId="04A025EA" w14:textId="77777777">
        <w:trPr>
          <w:tblCellSpacing w:w="15" w:type="dxa"/>
        </w:trPr>
        <w:tc>
          <w:tcPr>
            <w:tcW w:w="0" w:type="auto"/>
            <w:vAlign w:val="center"/>
            <w:hideMark/>
          </w:tcPr>
          <w:p w14:paraId="724A689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global</w:t>
            </w:r>
          </w:p>
        </w:tc>
        <w:tc>
          <w:tcPr>
            <w:tcW w:w="0" w:type="auto"/>
            <w:vAlign w:val="center"/>
            <w:hideMark/>
          </w:tcPr>
          <w:p w14:paraId="2B9C019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ONU, Agenda 2030</w:t>
            </w:r>
          </w:p>
        </w:tc>
        <w:tc>
          <w:tcPr>
            <w:tcW w:w="0" w:type="auto"/>
            <w:vAlign w:val="center"/>
            <w:hideMark/>
          </w:tcPr>
          <w:p w14:paraId="1AF6AEE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Formulează obiective generale de dezvoltare și guvernanță</w:t>
            </w:r>
          </w:p>
        </w:tc>
      </w:tr>
      <w:tr w:rsidR="007873B4" w:rsidRPr="007873B4" w14:paraId="6595F817" w14:textId="77777777">
        <w:trPr>
          <w:tblCellSpacing w:w="15" w:type="dxa"/>
        </w:trPr>
        <w:tc>
          <w:tcPr>
            <w:tcW w:w="0" w:type="auto"/>
            <w:vAlign w:val="center"/>
            <w:hideMark/>
          </w:tcPr>
          <w:p w14:paraId="0EDB479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expertiză internațională</w:t>
            </w:r>
          </w:p>
        </w:tc>
        <w:tc>
          <w:tcPr>
            <w:tcW w:w="0" w:type="auto"/>
            <w:vAlign w:val="center"/>
            <w:hideMark/>
          </w:tcPr>
          <w:p w14:paraId="0D57486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Banca Mondială</w:t>
            </w:r>
          </w:p>
        </w:tc>
        <w:tc>
          <w:tcPr>
            <w:tcW w:w="0" w:type="auto"/>
            <w:vAlign w:val="center"/>
            <w:hideMark/>
          </w:tcPr>
          <w:p w14:paraId="688230C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Analiză, recomandări, modele tehnice și asistență pentru reforme</w:t>
            </w:r>
          </w:p>
        </w:tc>
      </w:tr>
      <w:tr w:rsidR="007873B4" w:rsidRPr="007873B4" w14:paraId="463E4BF8" w14:textId="77777777">
        <w:trPr>
          <w:tblCellSpacing w:w="15" w:type="dxa"/>
        </w:trPr>
        <w:tc>
          <w:tcPr>
            <w:tcW w:w="0" w:type="auto"/>
            <w:vAlign w:val="center"/>
            <w:hideMark/>
          </w:tcPr>
          <w:p w14:paraId="455B743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supranațional european</w:t>
            </w:r>
          </w:p>
        </w:tc>
        <w:tc>
          <w:tcPr>
            <w:tcW w:w="0" w:type="auto"/>
            <w:vAlign w:val="center"/>
            <w:hideMark/>
          </w:tcPr>
          <w:p w14:paraId="6086C82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Comisia Europeană</w:t>
            </w:r>
          </w:p>
        </w:tc>
        <w:tc>
          <w:tcPr>
            <w:tcW w:w="0" w:type="auto"/>
            <w:vAlign w:val="center"/>
            <w:hideMark/>
          </w:tcPr>
          <w:p w14:paraId="2DB9A6B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Negociere, evaluare, monitorizare și propuneri</w:t>
            </w:r>
          </w:p>
        </w:tc>
      </w:tr>
      <w:tr w:rsidR="007873B4" w:rsidRPr="007873B4" w14:paraId="1875610E" w14:textId="77777777">
        <w:trPr>
          <w:tblCellSpacing w:w="15" w:type="dxa"/>
        </w:trPr>
        <w:tc>
          <w:tcPr>
            <w:tcW w:w="0" w:type="auto"/>
            <w:vAlign w:val="center"/>
            <w:hideMark/>
          </w:tcPr>
          <w:p w14:paraId="5EF5427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supranațional european</w:t>
            </w:r>
          </w:p>
        </w:tc>
        <w:tc>
          <w:tcPr>
            <w:tcW w:w="0" w:type="auto"/>
            <w:vAlign w:val="center"/>
            <w:hideMark/>
          </w:tcPr>
          <w:p w14:paraId="02045D4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Consiliul Uniunii Europene</w:t>
            </w:r>
          </w:p>
        </w:tc>
        <w:tc>
          <w:tcPr>
            <w:tcW w:w="0" w:type="auto"/>
            <w:vAlign w:val="center"/>
            <w:hideMark/>
          </w:tcPr>
          <w:p w14:paraId="7C7B122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Aprobarea planurilor și adoptarea deciziilor relevante</w:t>
            </w:r>
          </w:p>
        </w:tc>
      </w:tr>
      <w:tr w:rsidR="007873B4" w:rsidRPr="007873B4" w14:paraId="47A8DCED" w14:textId="77777777">
        <w:trPr>
          <w:tblCellSpacing w:w="15" w:type="dxa"/>
        </w:trPr>
        <w:tc>
          <w:tcPr>
            <w:tcW w:w="0" w:type="auto"/>
            <w:vAlign w:val="center"/>
            <w:hideMark/>
          </w:tcPr>
          <w:p w14:paraId="6A1927A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național, negociere</w:t>
            </w:r>
          </w:p>
        </w:tc>
        <w:tc>
          <w:tcPr>
            <w:tcW w:w="0" w:type="auto"/>
            <w:vAlign w:val="center"/>
            <w:hideMark/>
          </w:tcPr>
          <w:p w14:paraId="621436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Guvernul României</w:t>
            </w:r>
          </w:p>
        </w:tc>
        <w:tc>
          <w:tcPr>
            <w:tcW w:w="0" w:type="auto"/>
            <w:vAlign w:val="center"/>
            <w:hideMark/>
          </w:tcPr>
          <w:p w14:paraId="3C8EA6F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Negociază și asumă angajamentele statului</w:t>
            </w:r>
          </w:p>
        </w:tc>
      </w:tr>
      <w:tr w:rsidR="007873B4" w:rsidRPr="007873B4" w14:paraId="7E8EF14D" w14:textId="77777777">
        <w:trPr>
          <w:tblCellSpacing w:w="15" w:type="dxa"/>
        </w:trPr>
        <w:tc>
          <w:tcPr>
            <w:tcW w:w="0" w:type="auto"/>
            <w:vAlign w:val="center"/>
            <w:hideMark/>
          </w:tcPr>
          <w:p w14:paraId="34303F9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național, proiectare fiscală</w:t>
            </w:r>
          </w:p>
        </w:tc>
        <w:tc>
          <w:tcPr>
            <w:tcW w:w="0" w:type="auto"/>
            <w:vAlign w:val="center"/>
            <w:hideMark/>
          </w:tcPr>
          <w:p w14:paraId="3A049FB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Ministerul Finanțelor</w:t>
            </w:r>
          </w:p>
        </w:tc>
        <w:tc>
          <w:tcPr>
            <w:tcW w:w="0" w:type="auto"/>
            <w:vAlign w:val="center"/>
            <w:hideMark/>
          </w:tcPr>
          <w:p w14:paraId="5E6FB56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Selectează și configurează măsurile fiscale</w:t>
            </w:r>
          </w:p>
        </w:tc>
      </w:tr>
      <w:tr w:rsidR="007873B4" w:rsidRPr="007873B4" w14:paraId="688A8098" w14:textId="77777777">
        <w:trPr>
          <w:tblCellSpacing w:w="15" w:type="dxa"/>
        </w:trPr>
        <w:tc>
          <w:tcPr>
            <w:tcW w:w="0" w:type="auto"/>
            <w:vAlign w:val="center"/>
            <w:hideMark/>
          </w:tcPr>
          <w:p w14:paraId="4CCC22B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național, normativ</w:t>
            </w:r>
          </w:p>
        </w:tc>
        <w:tc>
          <w:tcPr>
            <w:tcW w:w="0" w:type="auto"/>
            <w:vAlign w:val="center"/>
            <w:hideMark/>
          </w:tcPr>
          <w:p w14:paraId="4E5C972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Guvernul și Parlamentul</w:t>
            </w:r>
          </w:p>
        </w:tc>
        <w:tc>
          <w:tcPr>
            <w:tcW w:w="0" w:type="auto"/>
            <w:vAlign w:val="center"/>
            <w:hideMark/>
          </w:tcPr>
          <w:p w14:paraId="51208B3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Adoptă OG, OUG și legi</w:t>
            </w:r>
          </w:p>
        </w:tc>
      </w:tr>
      <w:tr w:rsidR="007873B4" w:rsidRPr="007873B4" w14:paraId="0FD7BD6A" w14:textId="77777777">
        <w:trPr>
          <w:tblCellSpacing w:w="15" w:type="dxa"/>
        </w:trPr>
        <w:tc>
          <w:tcPr>
            <w:tcW w:w="0" w:type="auto"/>
            <w:vAlign w:val="center"/>
            <w:hideMark/>
          </w:tcPr>
          <w:p w14:paraId="2474347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național, administrativ</w:t>
            </w:r>
          </w:p>
        </w:tc>
        <w:tc>
          <w:tcPr>
            <w:tcW w:w="0" w:type="auto"/>
            <w:vAlign w:val="center"/>
            <w:hideMark/>
          </w:tcPr>
          <w:p w14:paraId="190D8CA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ANAF și celelalte autorități</w:t>
            </w:r>
          </w:p>
        </w:tc>
        <w:tc>
          <w:tcPr>
            <w:tcW w:w="0" w:type="auto"/>
            <w:vAlign w:val="center"/>
            <w:hideMark/>
          </w:tcPr>
          <w:p w14:paraId="37D8B65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Execută și controlează aplicarea</w:t>
            </w:r>
          </w:p>
        </w:tc>
      </w:tr>
      <w:tr w:rsidR="007873B4" w:rsidRPr="007873B4" w14:paraId="0D0677B9" w14:textId="77777777">
        <w:trPr>
          <w:tblCellSpacing w:w="15" w:type="dxa"/>
        </w:trPr>
        <w:tc>
          <w:tcPr>
            <w:tcW w:w="0" w:type="auto"/>
            <w:vAlign w:val="center"/>
            <w:hideMark/>
          </w:tcPr>
          <w:p w14:paraId="628A398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final</w:t>
            </w:r>
          </w:p>
        </w:tc>
        <w:tc>
          <w:tcPr>
            <w:tcW w:w="0" w:type="auto"/>
            <w:vAlign w:val="center"/>
            <w:hideMark/>
          </w:tcPr>
          <w:p w14:paraId="6BCD44A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Cetățeanul și întreprinderea</w:t>
            </w:r>
          </w:p>
        </w:tc>
        <w:tc>
          <w:tcPr>
            <w:tcW w:w="0" w:type="auto"/>
            <w:vAlign w:val="center"/>
            <w:hideMark/>
          </w:tcPr>
          <w:p w14:paraId="3CCFDAB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Suportă obligația fiscală și efectele reglementării</w:t>
            </w:r>
          </w:p>
        </w:tc>
      </w:tr>
    </w:tbl>
    <w:p w14:paraId="4C2BB47F"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Tabelul nu descrie o ierarhie juridică unică și nici un comandament centralizat. El descrie traseul instituțional prin care un obiectiv sau o reformă poate trece de la nivelul conceptual și internațional până la norma concretă aplicabilă contribuabilului. Tocmai lungimea acestui traseu face dificilă identificarea răspunderii dacă nu este analizată fiecare verigă separat.</w:t>
      </w:r>
    </w:p>
    <w:p w14:paraId="43B84022"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10. Continuitatea politică a reformei fiscale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2"/>
        <w:gridCol w:w="1508"/>
        <w:gridCol w:w="1678"/>
        <w:gridCol w:w="5212"/>
      </w:tblGrid>
      <w:tr w:rsidR="007873B4" w:rsidRPr="007873B4" w14:paraId="5D1BF2C0" w14:textId="77777777">
        <w:trPr>
          <w:tblCellSpacing w:w="15" w:type="dxa"/>
        </w:trPr>
        <w:tc>
          <w:tcPr>
            <w:tcW w:w="0" w:type="auto"/>
            <w:vAlign w:val="center"/>
            <w:hideMark/>
          </w:tcPr>
          <w:p w14:paraId="0E812395"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Etapa</w:t>
            </w:r>
          </w:p>
        </w:tc>
        <w:tc>
          <w:tcPr>
            <w:tcW w:w="0" w:type="auto"/>
            <w:vAlign w:val="center"/>
            <w:hideMark/>
          </w:tcPr>
          <w:p w14:paraId="0B3ECCB2"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Actori principali</w:t>
            </w:r>
          </w:p>
        </w:tc>
        <w:tc>
          <w:tcPr>
            <w:tcW w:w="0" w:type="auto"/>
            <w:vAlign w:val="center"/>
            <w:hideMark/>
          </w:tcPr>
          <w:p w14:paraId="033F79AC"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Partid sau structură</w:t>
            </w:r>
          </w:p>
        </w:tc>
        <w:tc>
          <w:tcPr>
            <w:tcW w:w="0" w:type="auto"/>
            <w:vAlign w:val="center"/>
            <w:hideMark/>
          </w:tcPr>
          <w:p w14:paraId="352B6705"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Rol</w:t>
            </w:r>
          </w:p>
        </w:tc>
      </w:tr>
      <w:tr w:rsidR="007873B4" w:rsidRPr="007873B4" w14:paraId="51517441" w14:textId="77777777">
        <w:trPr>
          <w:tblCellSpacing w:w="15" w:type="dxa"/>
        </w:trPr>
        <w:tc>
          <w:tcPr>
            <w:tcW w:w="0" w:type="auto"/>
            <w:vAlign w:val="center"/>
            <w:hideMark/>
          </w:tcPr>
          <w:p w14:paraId="143C889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2021</w:t>
            </w:r>
          </w:p>
        </w:tc>
        <w:tc>
          <w:tcPr>
            <w:tcW w:w="0" w:type="auto"/>
            <w:vAlign w:val="center"/>
            <w:hideMark/>
          </w:tcPr>
          <w:p w14:paraId="7151D93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Florin </w:t>
            </w:r>
            <w:proofErr w:type="spellStart"/>
            <w:r w:rsidRPr="007873B4">
              <w:rPr>
                <w:rFonts w:ascii="Times New Roman" w:eastAsia="Times New Roman" w:hAnsi="Times New Roman" w:cs="Times New Roman"/>
                <w:kern w:val="0"/>
                <w:lang w:val="ro-RO"/>
                <w14:ligatures w14:val="none"/>
              </w:rPr>
              <w:t>Cîțu</w:t>
            </w:r>
            <w:proofErr w:type="spellEnd"/>
          </w:p>
        </w:tc>
        <w:tc>
          <w:tcPr>
            <w:tcW w:w="0" w:type="auto"/>
            <w:vAlign w:val="center"/>
            <w:hideMark/>
          </w:tcPr>
          <w:p w14:paraId="6C06AED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576ED0E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Prim-ministru, coordonarea negocierii PNRR</w:t>
            </w:r>
          </w:p>
        </w:tc>
      </w:tr>
      <w:tr w:rsidR="007873B4" w:rsidRPr="007873B4" w14:paraId="31590C22" w14:textId="77777777">
        <w:trPr>
          <w:tblCellSpacing w:w="15" w:type="dxa"/>
        </w:trPr>
        <w:tc>
          <w:tcPr>
            <w:tcW w:w="0" w:type="auto"/>
            <w:vAlign w:val="center"/>
            <w:hideMark/>
          </w:tcPr>
          <w:p w14:paraId="3CE5B3E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2021</w:t>
            </w:r>
          </w:p>
        </w:tc>
        <w:tc>
          <w:tcPr>
            <w:tcW w:w="0" w:type="auto"/>
            <w:vAlign w:val="center"/>
            <w:hideMark/>
          </w:tcPr>
          <w:p w14:paraId="5332CFE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Cristian Ghinea</w:t>
            </w:r>
          </w:p>
        </w:tc>
        <w:tc>
          <w:tcPr>
            <w:tcW w:w="0" w:type="auto"/>
            <w:vAlign w:val="center"/>
            <w:hideMark/>
          </w:tcPr>
          <w:p w14:paraId="5F5D97F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USR PLUS</w:t>
            </w:r>
          </w:p>
        </w:tc>
        <w:tc>
          <w:tcPr>
            <w:tcW w:w="0" w:type="auto"/>
            <w:vAlign w:val="center"/>
            <w:hideMark/>
          </w:tcPr>
          <w:p w14:paraId="249CE06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Ministrul care conduce MIPE în negocierea cu Comisia</w:t>
            </w:r>
          </w:p>
        </w:tc>
      </w:tr>
      <w:tr w:rsidR="007873B4" w:rsidRPr="007873B4" w14:paraId="24DC1074" w14:textId="77777777">
        <w:trPr>
          <w:tblCellSpacing w:w="15" w:type="dxa"/>
        </w:trPr>
        <w:tc>
          <w:tcPr>
            <w:tcW w:w="0" w:type="auto"/>
            <w:vAlign w:val="center"/>
            <w:hideMark/>
          </w:tcPr>
          <w:p w14:paraId="403349D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2021</w:t>
            </w:r>
          </w:p>
        </w:tc>
        <w:tc>
          <w:tcPr>
            <w:tcW w:w="0" w:type="auto"/>
            <w:vAlign w:val="center"/>
            <w:hideMark/>
          </w:tcPr>
          <w:p w14:paraId="0AA4C6F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6E7220A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2B5CDEC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Ministrul Finanțelor în etapa negocierii PNRR</w:t>
            </w:r>
          </w:p>
        </w:tc>
      </w:tr>
      <w:tr w:rsidR="007873B4" w:rsidRPr="007873B4" w14:paraId="5873CCD7" w14:textId="77777777">
        <w:trPr>
          <w:tblCellSpacing w:w="15" w:type="dxa"/>
        </w:trPr>
        <w:tc>
          <w:tcPr>
            <w:tcW w:w="0" w:type="auto"/>
            <w:vAlign w:val="center"/>
            <w:hideMark/>
          </w:tcPr>
          <w:p w14:paraId="296FEB8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2022–2023</w:t>
            </w:r>
          </w:p>
        </w:tc>
        <w:tc>
          <w:tcPr>
            <w:tcW w:w="0" w:type="auto"/>
            <w:vAlign w:val="center"/>
            <w:hideMark/>
          </w:tcPr>
          <w:p w14:paraId="45ABC5D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Adrian </w:t>
            </w:r>
            <w:proofErr w:type="spellStart"/>
            <w:r w:rsidRPr="007873B4">
              <w:rPr>
                <w:rFonts w:ascii="Times New Roman" w:eastAsia="Times New Roman" w:hAnsi="Times New Roman" w:cs="Times New Roman"/>
                <w:kern w:val="0"/>
                <w:lang w:val="ro-RO"/>
                <w14:ligatures w14:val="none"/>
              </w:rPr>
              <w:t>Câciu</w:t>
            </w:r>
            <w:proofErr w:type="spellEnd"/>
          </w:p>
        </w:tc>
        <w:tc>
          <w:tcPr>
            <w:tcW w:w="0" w:type="auto"/>
            <w:vAlign w:val="center"/>
            <w:hideMark/>
          </w:tcPr>
          <w:p w14:paraId="69D2294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PSD</w:t>
            </w:r>
          </w:p>
        </w:tc>
        <w:tc>
          <w:tcPr>
            <w:tcW w:w="0" w:type="auto"/>
            <w:vAlign w:val="center"/>
            <w:hideMark/>
          </w:tcPr>
          <w:p w14:paraId="3E86E7B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Începe transpunerea fiscală majoră prin OG nr. 16/2022</w:t>
            </w:r>
          </w:p>
        </w:tc>
      </w:tr>
      <w:tr w:rsidR="007873B4" w:rsidRPr="007873B4" w14:paraId="2D355C62" w14:textId="77777777">
        <w:trPr>
          <w:tblCellSpacing w:w="15" w:type="dxa"/>
        </w:trPr>
        <w:tc>
          <w:tcPr>
            <w:tcW w:w="0" w:type="auto"/>
            <w:vAlign w:val="center"/>
            <w:hideMark/>
          </w:tcPr>
          <w:p w14:paraId="6D8635E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2023–2024</w:t>
            </w:r>
          </w:p>
        </w:tc>
        <w:tc>
          <w:tcPr>
            <w:tcW w:w="0" w:type="auto"/>
            <w:vAlign w:val="center"/>
            <w:hideMark/>
          </w:tcPr>
          <w:p w14:paraId="50CE20E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Marcel </w:t>
            </w:r>
            <w:proofErr w:type="spellStart"/>
            <w:r w:rsidRPr="007873B4">
              <w:rPr>
                <w:rFonts w:ascii="Times New Roman" w:eastAsia="Times New Roman" w:hAnsi="Times New Roman" w:cs="Times New Roman"/>
                <w:kern w:val="0"/>
                <w:lang w:val="ro-RO"/>
                <w14:ligatures w14:val="none"/>
              </w:rPr>
              <w:t>Boloș</w:t>
            </w:r>
            <w:proofErr w:type="spellEnd"/>
          </w:p>
        </w:tc>
        <w:tc>
          <w:tcPr>
            <w:tcW w:w="0" w:type="auto"/>
            <w:vAlign w:val="center"/>
            <w:hideMark/>
          </w:tcPr>
          <w:p w14:paraId="0ED0224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61C066D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Continuă reforma prin Legea nr. 296/2023 și OUG nr. 115/2023</w:t>
            </w:r>
          </w:p>
        </w:tc>
      </w:tr>
      <w:tr w:rsidR="007873B4" w:rsidRPr="007873B4" w14:paraId="6C19881F" w14:textId="77777777">
        <w:trPr>
          <w:tblCellSpacing w:w="15" w:type="dxa"/>
        </w:trPr>
        <w:tc>
          <w:tcPr>
            <w:tcW w:w="0" w:type="auto"/>
            <w:vAlign w:val="center"/>
            <w:hideMark/>
          </w:tcPr>
          <w:p w14:paraId="7325EA2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2024–2025</w:t>
            </w:r>
          </w:p>
        </w:tc>
        <w:tc>
          <w:tcPr>
            <w:tcW w:w="0" w:type="auto"/>
            <w:vAlign w:val="center"/>
            <w:hideMark/>
          </w:tcPr>
          <w:p w14:paraId="1093B54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proofErr w:type="spellStart"/>
            <w:r w:rsidRPr="007873B4">
              <w:rPr>
                <w:rFonts w:ascii="Times New Roman" w:eastAsia="Times New Roman" w:hAnsi="Times New Roman" w:cs="Times New Roman"/>
                <w:kern w:val="0"/>
                <w:lang w:val="ro-RO"/>
                <w14:ligatures w14:val="none"/>
              </w:rPr>
              <w:t>Tánczos</w:t>
            </w:r>
            <w:proofErr w:type="spellEnd"/>
            <w:r w:rsidRPr="007873B4">
              <w:rPr>
                <w:rFonts w:ascii="Times New Roman" w:eastAsia="Times New Roman" w:hAnsi="Times New Roman" w:cs="Times New Roman"/>
                <w:kern w:val="0"/>
                <w:lang w:val="ro-RO"/>
                <w14:ligatures w14:val="none"/>
              </w:rPr>
              <w:t xml:space="preserve"> Barna</w:t>
            </w:r>
          </w:p>
        </w:tc>
        <w:tc>
          <w:tcPr>
            <w:tcW w:w="0" w:type="auto"/>
            <w:vAlign w:val="center"/>
            <w:hideMark/>
          </w:tcPr>
          <w:p w14:paraId="0D9D3A2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UDMR</w:t>
            </w:r>
          </w:p>
        </w:tc>
        <w:tc>
          <w:tcPr>
            <w:tcW w:w="0" w:type="auto"/>
            <w:vAlign w:val="center"/>
            <w:hideMark/>
          </w:tcPr>
          <w:p w14:paraId="63CDE00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Continuă restructurarea și consolidarea prin OUG nr. 156/2024</w:t>
            </w:r>
          </w:p>
        </w:tc>
      </w:tr>
      <w:tr w:rsidR="007873B4" w:rsidRPr="007873B4" w14:paraId="5F6755FC" w14:textId="77777777">
        <w:trPr>
          <w:tblCellSpacing w:w="15" w:type="dxa"/>
        </w:trPr>
        <w:tc>
          <w:tcPr>
            <w:tcW w:w="0" w:type="auto"/>
            <w:vAlign w:val="center"/>
            <w:hideMark/>
          </w:tcPr>
          <w:p w14:paraId="2A8803F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2025–2026</w:t>
            </w:r>
          </w:p>
        </w:tc>
        <w:tc>
          <w:tcPr>
            <w:tcW w:w="0" w:type="auto"/>
            <w:vAlign w:val="center"/>
            <w:hideMark/>
          </w:tcPr>
          <w:p w14:paraId="3F0C505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Alexandru </w:t>
            </w:r>
            <w:proofErr w:type="spellStart"/>
            <w:r w:rsidRPr="007873B4">
              <w:rPr>
                <w:rFonts w:ascii="Times New Roman" w:eastAsia="Times New Roman" w:hAnsi="Times New Roman" w:cs="Times New Roman"/>
                <w:kern w:val="0"/>
                <w:lang w:val="ro-RO"/>
                <w14:ligatures w14:val="none"/>
              </w:rPr>
              <w:t>Nazare</w:t>
            </w:r>
            <w:proofErr w:type="spellEnd"/>
          </w:p>
        </w:tc>
        <w:tc>
          <w:tcPr>
            <w:tcW w:w="0" w:type="auto"/>
            <w:vAlign w:val="center"/>
            <w:hideMark/>
          </w:tcPr>
          <w:p w14:paraId="5672723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PNL</w:t>
            </w:r>
          </w:p>
        </w:tc>
        <w:tc>
          <w:tcPr>
            <w:tcW w:w="0" w:type="auto"/>
            <w:vAlign w:val="center"/>
            <w:hideMark/>
          </w:tcPr>
          <w:p w14:paraId="7F93AD2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Aplică pachetul de consolidare sub PNRR, deficit excesiv și plan fiscal-structural</w:t>
            </w:r>
          </w:p>
        </w:tc>
      </w:tr>
    </w:tbl>
    <w:p w14:paraId="1A5A9F0F"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Continuitatea traversează PNL, USR, PSD și UDMR și demonstrează că reforma fiscală nu poate fi atribuită coerent unui singur partid. Angajamentele statului și obligațiile fiscale multianuale supraviețuiesc schimbării persoanelor și coalițiilor.</w:t>
      </w:r>
    </w:p>
    <w:p w14:paraId="2194B541"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11. Modelul comparativ de implementare a obiectivelor globale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2"/>
        <w:gridCol w:w="3596"/>
        <w:gridCol w:w="2184"/>
        <w:gridCol w:w="2258"/>
      </w:tblGrid>
      <w:tr w:rsidR="007873B4" w:rsidRPr="007873B4" w14:paraId="7222F320" w14:textId="77777777">
        <w:trPr>
          <w:tblCellSpacing w:w="15" w:type="dxa"/>
        </w:trPr>
        <w:tc>
          <w:tcPr>
            <w:tcW w:w="0" w:type="auto"/>
            <w:vAlign w:val="center"/>
            <w:hideMark/>
          </w:tcPr>
          <w:p w14:paraId="60FA37EF"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Sistem sau regiune</w:t>
            </w:r>
          </w:p>
        </w:tc>
        <w:tc>
          <w:tcPr>
            <w:tcW w:w="0" w:type="auto"/>
            <w:vAlign w:val="center"/>
            <w:hideMark/>
          </w:tcPr>
          <w:p w14:paraId="7A40A3F0"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Raportul cu Agenda 2030</w:t>
            </w:r>
          </w:p>
        </w:tc>
        <w:tc>
          <w:tcPr>
            <w:tcW w:w="0" w:type="auto"/>
            <w:vAlign w:val="center"/>
            <w:hideMark/>
          </w:tcPr>
          <w:p w14:paraId="1CDE1F6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Filtrul principal de implementare</w:t>
            </w:r>
          </w:p>
        </w:tc>
        <w:tc>
          <w:tcPr>
            <w:tcW w:w="0" w:type="auto"/>
            <w:vAlign w:val="center"/>
            <w:hideMark/>
          </w:tcPr>
          <w:p w14:paraId="10679DF1"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Gradul de integrare supranațională</w:t>
            </w:r>
          </w:p>
        </w:tc>
      </w:tr>
      <w:tr w:rsidR="007873B4" w:rsidRPr="007873B4" w14:paraId="589CCF58" w14:textId="77777777">
        <w:trPr>
          <w:tblCellSpacing w:w="15" w:type="dxa"/>
        </w:trPr>
        <w:tc>
          <w:tcPr>
            <w:tcW w:w="0" w:type="auto"/>
            <w:vAlign w:val="center"/>
            <w:hideMark/>
          </w:tcPr>
          <w:p w14:paraId="41D604E4"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China</w:t>
            </w:r>
          </w:p>
        </w:tc>
        <w:tc>
          <w:tcPr>
            <w:tcW w:w="0" w:type="auto"/>
            <w:vAlign w:val="center"/>
            <w:hideMark/>
          </w:tcPr>
          <w:p w14:paraId="4A8678D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Acceptă obiectivele, dar insistă asupra suveranității și propriei căi de dezvoltare</w:t>
            </w:r>
          </w:p>
        </w:tc>
        <w:tc>
          <w:tcPr>
            <w:tcW w:w="0" w:type="auto"/>
            <w:vAlign w:val="center"/>
            <w:hideMark/>
          </w:tcPr>
          <w:p w14:paraId="23D5C98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Planificarea națională și planurile cincinale</w:t>
            </w:r>
          </w:p>
        </w:tc>
        <w:tc>
          <w:tcPr>
            <w:tcW w:w="0" w:type="auto"/>
            <w:vAlign w:val="center"/>
            <w:hideMark/>
          </w:tcPr>
          <w:p w14:paraId="5BA15DE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Redus</w:t>
            </w:r>
          </w:p>
        </w:tc>
      </w:tr>
      <w:tr w:rsidR="007873B4" w:rsidRPr="007873B4" w14:paraId="1B99BB91" w14:textId="77777777">
        <w:trPr>
          <w:tblCellSpacing w:w="15" w:type="dxa"/>
        </w:trPr>
        <w:tc>
          <w:tcPr>
            <w:tcW w:w="0" w:type="auto"/>
            <w:vAlign w:val="center"/>
            <w:hideMark/>
          </w:tcPr>
          <w:p w14:paraId="12CB4E0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Statele arabe</w:t>
            </w:r>
          </w:p>
        </w:tc>
        <w:tc>
          <w:tcPr>
            <w:tcW w:w="0" w:type="auto"/>
            <w:vAlign w:val="center"/>
            <w:hideMark/>
          </w:tcPr>
          <w:p w14:paraId="1C7DC52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Participă la Agenda 2030, menținând diferențe religioase, juridice și culturale</w:t>
            </w:r>
          </w:p>
        </w:tc>
        <w:tc>
          <w:tcPr>
            <w:tcW w:w="0" w:type="auto"/>
            <w:vAlign w:val="center"/>
            <w:hideMark/>
          </w:tcPr>
          <w:p w14:paraId="2000414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Statul, tradiția, religia și strategiile naționale</w:t>
            </w:r>
          </w:p>
        </w:tc>
        <w:tc>
          <w:tcPr>
            <w:tcW w:w="0" w:type="auto"/>
            <w:vAlign w:val="center"/>
            <w:hideMark/>
          </w:tcPr>
          <w:p w14:paraId="44D4324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Redus spre regional</w:t>
            </w:r>
          </w:p>
        </w:tc>
      </w:tr>
      <w:tr w:rsidR="007873B4" w:rsidRPr="007873B4" w14:paraId="7C5B0CFB" w14:textId="77777777">
        <w:trPr>
          <w:tblCellSpacing w:w="15" w:type="dxa"/>
        </w:trPr>
        <w:tc>
          <w:tcPr>
            <w:tcW w:w="0" w:type="auto"/>
            <w:vAlign w:val="center"/>
            <w:hideMark/>
          </w:tcPr>
          <w:p w14:paraId="73BD611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Africa</w:t>
            </w:r>
          </w:p>
        </w:tc>
        <w:tc>
          <w:tcPr>
            <w:tcW w:w="0" w:type="auto"/>
            <w:vAlign w:val="center"/>
            <w:hideMark/>
          </w:tcPr>
          <w:p w14:paraId="4343CBF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Acceptă obiectivele, insistând asupra nivelului de dezvoltare și valorilor culturale și religioase</w:t>
            </w:r>
          </w:p>
        </w:tc>
        <w:tc>
          <w:tcPr>
            <w:tcW w:w="0" w:type="auto"/>
            <w:vAlign w:val="center"/>
            <w:hideMark/>
          </w:tcPr>
          <w:p w14:paraId="1AF567C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Politici naționale și asistență internațională</w:t>
            </w:r>
          </w:p>
        </w:tc>
        <w:tc>
          <w:tcPr>
            <w:tcW w:w="0" w:type="auto"/>
            <w:vAlign w:val="center"/>
            <w:hideMark/>
          </w:tcPr>
          <w:p w14:paraId="539AFFF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Variabil</w:t>
            </w:r>
          </w:p>
        </w:tc>
      </w:tr>
      <w:tr w:rsidR="007873B4" w:rsidRPr="007873B4" w14:paraId="6561FAE9" w14:textId="77777777">
        <w:trPr>
          <w:tblCellSpacing w:w="15" w:type="dxa"/>
        </w:trPr>
        <w:tc>
          <w:tcPr>
            <w:tcW w:w="0" w:type="auto"/>
            <w:vAlign w:val="center"/>
            <w:hideMark/>
          </w:tcPr>
          <w:p w14:paraId="4C0E005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Statele Unite</w:t>
            </w:r>
          </w:p>
        </w:tc>
        <w:tc>
          <w:tcPr>
            <w:tcW w:w="0" w:type="auto"/>
            <w:vAlign w:val="center"/>
            <w:hideMark/>
          </w:tcPr>
          <w:p w14:paraId="5030709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Acceptă cadrul politic global, fără transformarea automată în obligații juridice interne</w:t>
            </w:r>
          </w:p>
        </w:tc>
        <w:tc>
          <w:tcPr>
            <w:tcW w:w="0" w:type="auto"/>
            <w:vAlign w:val="center"/>
            <w:hideMark/>
          </w:tcPr>
          <w:p w14:paraId="6D5CEA6F"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Constituția, legislația federală și statele</w:t>
            </w:r>
          </w:p>
        </w:tc>
        <w:tc>
          <w:tcPr>
            <w:tcW w:w="0" w:type="auto"/>
            <w:vAlign w:val="center"/>
            <w:hideMark/>
          </w:tcPr>
          <w:p w14:paraId="209A956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Fără nivel supranațional comparabil cu UE</w:t>
            </w:r>
          </w:p>
        </w:tc>
      </w:tr>
      <w:tr w:rsidR="007873B4" w:rsidRPr="007873B4" w14:paraId="270AD707" w14:textId="77777777">
        <w:trPr>
          <w:tblCellSpacing w:w="15" w:type="dxa"/>
        </w:trPr>
        <w:tc>
          <w:tcPr>
            <w:tcW w:w="0" w:type="auto"/>
            <w:vAlign w:val="center"/>
            <w:hideMark/>
          </w:tcPr>
          <w:p w14:paraId="7AE3B7D3"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Uniunea Europeană</w:t>
            </w:r>
          </w:p>
        </w:tc>
        <w:tc>
          <w:tcPr>
            <w:tcW w:w="0" w:type="auto"/>
            <w:vAlign w:val="center"/>
            <w:hideMark/>
          </w:tcPr>
          <w:p w14:paraId="0D100B2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Integrează o parte dintre obiective în strategii, legislație, ținte și finanțări</w:t>
            </w:r>
          </w:p>
        </w:tc>
        <w:tc>
          <w:tcPr>
            <w:tcW w:w="0" w:type="auto"/>
            <w:vAlign w:val="center"/>
            <w:hideMark/>
          </w:tcPr>
          <w:p w14:paraId="3B8951A7"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Instituțiile UE și statele membre</w:t>
            </w:r>
          </w:p>
        </w:tc>
        <w:tc>
          <w:tcPr>
            <w:tcW w:w="0" w:type="auto"/>
            <w:vAlign w:val="center"/>
            <w:hideMark/>
          </w:tcPr>
          <w:p w14:paraId="1E0E562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Ridicat</w:t>
            </w:r>
          </w:p>
        </w:tc>
      </w:tr>
      <w:tr w:rsidR="007873B4" w:rsidRPr="007873B4" w14:paraId="610E8BB4" w14:textId="77777777">
        <w:trPr>
          <w:tblCellSpacing w:w="15" w:type="dxa"/>
        </w:trPr>
        <w:tc>
          <w:tcPr>
            <w:tcW w:w="0" w:type="auto"/>
            <w:vAlign w:val="center"/>
            <w:hideMark/>
          </w:tcPr>
          <w:p w14:paraId="65E7F35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România</w:t>
            </w:r>
          </w:p>
        </w:tc>
        <w:tc>
          <w:tcPr>
            <w:tcW w:w="0" w:type="auto"/>
            <w:vAlign w:val="center"/>
            <w:hideMark/>
          </w:tcPr>
          <w:p w14:paraId="0E70567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Participă la Agenda globală prin apartenența ONU și implementează numeroase politici prin cadrul UE</w:t>
            </w:r>
          </w:p>
        </w:tc>
        <w:tc>
          <w:tcPr>
            <w:tcW w:w="0" w:type="auto"/>
            <w:vAlign w:val="center"/>
            <w:hideMark/>
          </w:tcPr>
          <w:p w14:paraId="06B1A34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UE, Guvern, Parlament, administrație</w:t>
            </w:r>
          </w:p>
        </w:tc>
        <w:tc>
          <w:tcPr>
            <w:tcW w:w="0" w:type="auto"/>
            <w:vAlign w:val="center"/>
            <w:hideMark/>
          </w:tcPr>
          <w:p w14:paraId="67D13C9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Ridicat</w:t>
            </w:r>
          </w:p>
        </w:tc>
      </w:tr>
    </w:tbl>
    <w:p w14:paraId="0612553B"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Comparația arată că Agenda 2030 nu produce un model politic unic. Diferența esențială pentru România constă în existența nivelului supranațional european, capabil să transforme anumite orientări generale în norme, obiective cuantificate și condiționalități care nu există în aceeași formă în China, Statele Unite sau în majoritatea statelor arabe.</w:t>
      </w:r>
    </w:p>
    <w:p w14:paraId="085C6DF0"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12. Distincția dintre proeuropean, prooccidental și progresist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4"/>
        <w:gridCol w:w="4198"/>
        <w:gridCol w:w="3408"/>
      </w:tblGrid>
      <w:tr w:rsidR="007873B4" w:rsidRPr="007873B4" w14:paraId="1FC9DDE3" w14:textId="77777777">
        <w:trPr>
          <w:tblCellSpacing w:w="15" w:type="dxa"/>
        </w:trPr>
        <w:tc>
          <w:tcPr>
            <w:tcW w:w="0" w:type="auto"/>
            <w:vAlign w:val="center"/>
            <w:hideMark/>
          </w:tcPr>
          <w:p w14:paraId="5CF237D3"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Concept</w:t>
            </w:r>
          </w:p>
        </w:tc>
        <w:tc>
          <w:tcPr>
            <w:tcW w:w="0" w:type="auto"/>
            <w:vAlign w:val="center"/>
            <w:hideMark/>
          </w:tcPr>
          <w:p w14:paraId="535476DD"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Conținut principal</w:t>
            </w:r>
          </w:p>
        </w:tc>
        <w:tc>
          <w:tcPr>
            <w:tcW w:w="0" w:type="auto"/>
            <w:vAlign w:val="center"/>
            <w:hideMark/>
          </w:tcPr>
          <w:p w14:paraId="6A60D4A0"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Ce nu rezultă automat din concept</w:t>
            </w:r>
          </w:p>
        </w:tc>
      </w:tr>
      <w:tr w:rsidR="007873B4" w:rsidRPr="007873B4" w14:paraId="7804767F" w14:textId="77777777">
        <w:trPr>
          <w:tblCellSpacing w:w="15" w:type="dxa"/>
        </w:trPr>
        <w:tc>
          <w:tcPr>
            <w:tcW w:w="0" w:type="auto"/>
            <w:vAlign w:val="center"/>
            <w:hideMark/>
          </w:tcPr>
          <w:p w14:paraId="1E52063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lastRenderedPageBreak/>
              <w:t>Proeuropean</w:t>
            </w:r>
          </w:p>
        </w:tc>
        <w:tc>
          <w:tcPr>
            <w:tcW w:w="0" w:type="auto"/>
            <w:vAlign w:val="center"/>
            <w:hideMark/>
          </w:tcPr>
          <w:p w14:paraId="4BC4262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Susținerea apartenenței și integrării în Uniunea Europeană</w:t>
            </w:r>
          </w:p>
        </w:tc>
        <w:tc>
          <w:tcPr>
            <w:tcW w:w="0" w:type="auto"/>
            <w:vAlign w:val="center"/>
            <w:hideMark/>
          </w:tcPr>
          <w:p w14:paraId="3EF92B7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Acceptarea necondiționată a tuturor politicilor fiscale, sociale sau climatice ale UE</w:t>
            </w:r>
          </w:p>
        </w:tc>
      </w:tr>
      <w:tr w:rsidR="007873B4" w:rsidRPr="007873B4" w14:paraId="2B0452AF" w14:textId="77777777">
        <w:trPr>
          <w:tblCellSpacing w:w="15" w:type="dxa"/>
        </w:trPr>
        <w:tc>
          <w:tcPr>
            <w:tcW w:w="0" w:type="auto"/>
            <w:vAlign w:val="center"/>
            <w:hideMark/>
          </w:tcPr>
          <w:p w14:paraId="5E42EE4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Prooccidental</w:t>
            </w:r>
          </w:p>
        </w:tc>
        <w:tc>
          <w:tcPr>
            <w:tcW w:w="0" w:type="auto"/>
            <w:vAlign w:val="center"/>
            <w:hideMark/>
          </w:tcPr>
          <w:p w14:paraId="48BC1BA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Orientare strategică spre UE, SUA și NATO</w:t>
            </w:r>
          </w:p>
        </w:tc>
        <w:tc>
          <w:tcPr>
            <w:tcW w:w="0" w:type="auto"/>
            <w:vAlign w:val="center"/>
            <w:hideMark/>
          </w:tcPr>
          <w:p w14:paraId="737D5A7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Adeziunea obligatorie la o doctrină progresistă</w:t>
            </w:r>
          </w:p>
        </w:tc>
      </w:tr>
      <w:tr w:rsidR="007873B4" w:rsidRPr="007873B4" w14:paraId="67E095BF" w14:textId="77777777">
        <w:trPr>
          <w:tblCellSpacing w:w="15" w:type="dxa"/>
        </w:trPr>
        <w:tc>
          <w:tcPr>
            <w:tcW w:w="0" w:type="auto"/>
            <w:vAlign w:val="center"/>
            <w:hideMark/>
          </w:tcPr>
          <w:p w14:paraId="5FE4DA1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Progresist</w:t>
            </w:r>
          </w:p>
        </w:tc>
        <w:tc>
          <w:tcPr>
            <w:tcW w:w="0" w:type="auto"/>
            <w:vAlign w:val="center"/>
            <w:hideMark/>
          </w:tcPr>
          <w:p w14:paraId="699082D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Orientare către transformarea socială, instituțională, climatică și extinderea unor politici de egalitate și incluziune</w:t>
            </w:r>
          </w:p>
        </w:tc>
        <w:tc>
          <w:tcPr>
            <w:tcW w:w="0" w:type="auto"/>
            <w:vAlign w:val="center"/>
            <w:hideMark/>
          </w:tcPr>
          <w:p w14:paraId="67F973E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Apartenența obligatorie la UE sau NATO</w:t>
            </w:r>
          </w:p>
        </w:tc>
      </w:tr>
      <w:tr w:rsidR="007873B4" w:rsidRPr="007873B4" w14:paraId="2058547D" w14:textId="77777777">
        <w:trPr>
          <w:tblCellSpacing w:w="15" w:type="dxa"/>
        </w:trPr>
        <w:tc>
          <w:tcPr>
            <w:tcW w:w="0" w:type="auto"/>
            <w:vAlign w:val="center"/>
            <w:hideMark/>
          </w:tcPr>
          <w:p w14:paraId="2DDDB40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Conservator prooccidental</w:t>
            </w:r>
          </w:p>
        </w:tc>
        <w:tc>
          <w:tcPr>
            <w:tcW w:w="0" w:type="auto"/>
            <w:vAlign w:val="center"/>
            <w:hideMark/>
          </w:tcPr>
          <w:p w14:paraId="2D4F484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Susținerea apartenenței occidentale cu poziții sociale sau economice conservatoare</w:t>
            </w:r>
          </w:p>
        </w:tc>
        <w:tc>
          <w:tcPr>
            <w:tcW w:w="0" w:type="auto"/>
            <w:vAlign w:val="center"/>
            <w:hideMark/>
          </w:tcPr>
          <w:p w14:paraId="5593C0C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Opoziția față de Occident</w:t>
            </w:r>
          </w:p>
        </w:tc>
      </w:tr>
    </w:tbl>
    <w:p w14:paraId="77ADF4FB"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Separarea termenilor este necesară pentru analiza discursului politic din 2025–2026. Orientarea geopolitică prooccidentală poate coexista cu opțiuni fiscale, economice sau sociale diferite. Asocierea lor într-un singur pachet politic este posibilă, dar nu este obligatorie conceptual.</w:t>
      </w:r>
    </w:p>
    <w:p w14:paraId="679C3C83"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Tabelul 13. Nivelurile responsabilității pentru o măsură fiscală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6"/>
        <w:gridCol w:w="3353"/>
        <w:gridCol w:w="4141"/>
      </w:tblGrid>
      <w:tr w:rsidR="007873B4" w:rsidRPr="007873B4" w14:paraId="12DC36B0" w14:textId="77777777">
        <w:trPr>
          <w:tblCellSpacing w:w="15" w:type="dxa"/>
        </w:trPr>
        <w:tc>
          <w:tcPr>
            <w:tcW w:w="0" w:type="auto"/>
            <w:vAlign w:val="center"/>
            <w:hideMark/>
          </w:tcPr>
          <w:p w14:paraId="6FCA6D31"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Nivel</w:t>
            </w:r>
          </w:p>
        </w:tc>
        <w:tc>
          <w:tcPr>
            <w:tcW w:w="0" w:type="auto"/>
            <w:vAlign w:val="center"/>
            <w:hideMark/>
          </w:tcPr>
          <w:p w14:paraId="43CBD774"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Întrebarea care trebuie pusă</w:t>
            </w:r>
          </w:p>
        </w:tc>
        <w:tc>
          <w:tcPr>
            <w:tcW w:w="0" w:type="auto"/>
            <w:vAlign w:val="center"/>
            <w:hideMark/>
          </w:tcPr>
          <w:p w14:paraId="7E155148" w14:textId="77777777" w:rsidR="007873B4" w:rsidRPr="007873B4" w:rsidRDefault="007873B4" w:rsidP="007873B4">
            <w:pPr>
              <w:spacing w:after="0" w:line="240" w:lineRule="auto"/>
              <w:jc w:val="center"/>
              <w:rPr>
                <w:rFonts w:ascii="Times New Roman" w:eastAsia="Times New Roman" w:hAnsi="Times New Roman" w:cs="Times New Roman"/>
                <w:b/>
                <w:bCs/>
                <w:kern w:val="0"/>
                <w:lang w:val="ro-RO"/>
                <w14:ligatures w14:val="none"/>
              </w:rPr>
            </w:pPr>
            <w:r w:rsidRPr="007873B4">
              <w:rPr>
                <w:rFonts w:ascii="Times New Roman" w:eastAsia="Times New Roman" w:hAnsi="Times New Roman" w:cs="Times New Roman"/>
                <w:b/>
                <w:bCs/>
                <w:kern w:val="0"/>
                <w:lang w:val="ro-RO"/>
                <w14:ligatures w14:val="none"/>
              </w:rPr>
              <w:t>Exemplu</w:t>
            </w:r>
          </w:p>
        </w:tc>
      </w:tr>
      <w:tr w:rsidR="007873B4" w:rsidRPr="007873B4" w14:paraId="24D492F8" w14:textId="77777777">
        <w:trPr>
          <w:tblCellSpacing w:w="15" w:type="dxa"/>
        </w:trPr>
        <w:tc>
          <w:tcPr>
            <w:tcW w:w="0" w:type="auto"/>
            <w:vAlign w:val="center"/>
            <w:hideMark/>
          </w:tcPr>
          <w:p w14:paraId="252AB76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Obiectiv</w:t>
            </w:r>
          </w:p>
        </w:tc>
        <w:tc>
          <w:tcPr>
            <w:tcW w:w="0" w:type="auto"/>
            <w:vAlign w:val="center"/>
            <w:hideMark/>
          </w:tcPr>
          <w:p w14:paraId="72CAF6D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a cerut direcția generală</w:t>
            </w:r>
          </w:p>
        </w:tc>
        <w:tc>
          <w:tcPr>
            <w:tcW w:w="0" w:type="auto"/>
            <w:vAlign w:val="center"/>
            <w:hideMark/>
          </w:tcPr>
          <w:p w14:paraId="6F6C325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PNRR cere reducerea regimului micro</w:t>
            </w:r>
          </w:p>
        </w:tc>
      </w:tr>
      <w:tr w:rsidR="007873B4" w:rsidRPr="007873B4" w14:paraId="4103A285" w14:textId="77777777">
        <w:trPr>
          <w:tblCellSpacing w:w="15" w:type="dxa"/>
        </w:trPr>
        <w:tc>
          <w:tcPr>
            <w:tcW w:w="0" w:type="auto"/>
            <w:vAlign w:val="center"/>
            <w:hideMark/>
          </w:tcPr>
          <w:p w14:paraId="0A16F9B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Negociere</w:t>
            </w:r>
          </w:p>
        </w:tc>
        <w:tc>
          <w:tcPr>
            <w:tcW w:w="0" w:type="auto"/>
            <w:vAlign w:val="center"/>
            <w:hideMark/>
          </w:tcPr>
          <w:p w14:paraId="2E763E6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a acceptat angajamentul</w:t>
            </w:r>
          </w:p>
        </w:tc>
        <w:tc>
          <w:tcPr>
            <w:tcW w:w="0" w:type="auto"/>
            <w:vAlign w:val="center"/>
            <w:hideMark/>
          </w:tcPr>
          <w:p w14:paraId="0945420D"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 xml:space="preserve">Guvernul </w:t>
            </w:r>
            <w:proofErr w:type="spellStart"/>
            <w:r w:rsidRPr="007873B4">
              <w:rPr>
                <w:rFonts w:ascii="Times New Roman" w:eastAsia="Times New Roman" w:hAnsi="Times New Roman" w:cs="Times New Roman"/>
                <w:kern w:val="0"/>
                <w:lang w:val="ro-RO"/>
                <w14:ligatures w14:val="none"/>
              </w:rPr>
              <w:t>Cîțu</w:t>
            </w:r>
            <w:proofErr w:type="spellEnd"/>
            <w:r w:rsidRPr="007873B4">
              <w:rPr>
                <w:rFonts w:ascii="Times New Roman" w:eastAsia="Times New Roman" w:hAnsi="Times New Roman" w:cs="Times New Roman"/>
                <w:kern w:val="0"/>
                <w:lang w:val="ro-RO"/>
                <w14:ligatures w14:val="none"/>
              </w:rPr>
              <w:t xml:space="preserve"> și coaliția din 2021</w:t>
            </w:r>
          </w:p>
        </w:tc>
      </w:tr>
      <w:tr w:rsidR="007873B4" w:rsidRPr="007873B4" w14:paraId="5F18B1D9" w14:textId="77777777">
        <w:trPr>
          <w:tblCellSpacing w:w="15" w:type="dxa"/>
        </w:trPr>
        <w:tc>
          <w:tcPr>
            <w:tcW w:w="0" w:type="auto"/>
            <w:vAlign w:val="center"/>
            <w:hideMark/>
          </w:tcPr>
          <w:p w14:paraId="437EB231"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Expertiză</w:t>
            </w:r>
          </w:p>
        </w:tc>
        <w:tc>
          <w:tcPr>
            <w:tcW w:w="0" w:type="auto"/>
            <w:vAlign w:val="center"/>
            <w:hideMark/>
          </w:tcPr>
          <w:p w14:paraId="6E86CE86"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a recomandat modelul tehnic</w:t>
            </w:r>
          </w:p>
        </w:tc>
        <w:tc>
          <w:tcPr>
            <w:tcW w:w="0" w:type="auto"/>
            <w:vAlign w:val="center"/>
            <w:hideMark/>
          </w:tcPr>
          <w:p w14:paraId="44ADEAE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Banca Mondială pentru anumite componente</w:t>
            </w:r>
          </w:p>
        </w:tc>
      </w:tr>
      <w:tr w:rsidR="007873B4" w:rsidRPr="007873B4" w14:paraId="3919379A" w14:textId="77777777">
        <w:trPr>
          <w:tblCellSpacing w:w="15" w:type="dxa"/>
        </w:trPr>
        <w:tc>
          <w:tcPr>
            <w:tcW w:w="0" w:type="auto"/>
            <w:vAlign w:val="center"/>
            <w:hideMark/>
          </w:tcPr>
          <w:p w14:paraId="516BB230"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Rezultat</w:t>
            </w:r>
          </w:p>
        </w:tc>
        <w:tc>
          <w:tcPr>
            <w:tcW w:w="0" w:type="auto"/>
            <w:vAlign w:val="center"/>
            <w:hideMark/>
          </w:tcPr>
          <w:p w14:paraId="2B9FCBE8"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stabilește efectul fiscal necesar</w:t>
            </w:r>
          </w:p>
        </w:tc>
        <w:tc>
          <w:tcPr>
            <w:tcW w:w="0" w:type="auto"/>
            <w:vAlign w:val="center"/>
            <w:hideMark/>
          </w:tcPr>
          <w:p w14:paraId="2C5E4F6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Consiliul UE în cadrul consolidării</w:t>
            </w:r>
          </w:p>
        </w:tc>
      </w:tr>
      <w:tr w:rsidR="007873B4" w:rsidRPr="007873B4" w14:paraId="26131AD4" w14:textId="77777777">
        <w:trPr>
          <w:tblCellSpacing w:w="15" w:type="dxa"/>
        </w:trPr>
        <w:tc>
          <w:tcPr>
            <w:tcW w:w="0" w:type="auto"/>
            <w:vAlign w:val="center"/>
            <w:hideMark/>
          </w:tcPr>
          <w:p w14:paraId="1776DB3A"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Instrument</w:t>
            </w:r>
          </w:p>
        </w:tc>
        <w:tc>
          <w:tcPr>
            <w:tcW w:w="0" w:type="auto"/>
            <w:vAlign w:val="center"/>
            <w:hideMark/>
          </w:tcPr>
          <w:p w14:paraId="45C4F01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alege taxa, cota sau plafonul</w:t>
            </w:r>
          </w:p>
        </w:tc>
        <w:tc>
          <w:tcPr>
            <w:tcW w:w="0" w:type="auto"/>
            <w:vAlign w:val="center"/>
            <w:hideMark/>
          </w:tcPr>
          <w:p w14:paraId="2F3BD97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Guvernul și Parlamentul României</w:t>
            </w:r>
          </w:p>
        </w:tc>
      </w:tr>
      <w:tr w:rsidR="007873B4" w:rsidRPr="007873B4" w14:paraId="7BF209CF" w14:textId="77777777">
        <w:trPr>
          <w:tblCellSpacing w:w="15" w:type="dxa"/>
        </w:trPr>
        <w:tc>
          <w:tcPr>
            <w:tcW w:w="0" w:type="auto"/>
            <w:vAlign w:val="center"/>
            <w:hideMark/>
          </w:tcPr>
          <w:p w14:paraId="45F8F402"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Executare</w:t>
            </w:r>
          </w:p>
        </w:tc>
        <w:tc>
          <w:tcPr>
            <w:tcW w:w="0" w:type="auto"/>
            <w:vAlign w:val="center"/>
            <w:hideMark/>
          </w:tcPr>
          <w:p w14:paraId="7AB5C505"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aplică obligația</w:t>
            </w:r>
          </w:p>
        </w:tc>
        <w:tc>
          <w:tcPr>
            <w:tcW w:w="0" w:type="auto"/>
            <w:vAlign w:val="center"/>
            <w:hideMark/>
          </w:tcPr>
          <w:p w14:paraId="2A5437EB"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ANAF și administrația fiscală</w:t>
            </w:r>
          </w:p>
        </w:tc>
      </w:tr>
      <w:tr w:rsidR="007873B4" w:rsidRPr="007873B4" w14:paraId="6E0BE8C1" w14:textId="77777777">
        <w:trPr>
          <w:tblCellSpacing w:w="15" w:type="dxa"/>
        </w:trPr>
        <w:tc>
          <w:tcPr>
            <w:tcW w:w="0" w:type="auto"/>
            <w:vAlign w:val="center"/>
            <w:hideMark/>
          </w:tcPr>
          <w:p w14:paraId="0F6F496E"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Suportarea costului</w:t>
            </w:r>
          </w:p>
        </w:tc>
        <w:tc>
          <w:tcPr>
            <w:tcW w:w="0" w:type="auto"/>
            <w:vAlign w:val="center"/>
            <w:hideMark/>
          </w:tcPr>
          <w:p w14:paraId="3B60C4EC"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Cine plătește efectiv</w:t>
            </w:r>
          </w:p>
        </w:tc>
        <w:tc>
          <w:tcPr>
            <w:tcW w:w="0" w:type="auto"/>
            <w:vAlign w:val="center"/>
            <w:hideMark/>
          </w:tcPr>
          <w:p w14:paraId="0A6F61E9" w14:textId="77777777" w:rsidR="007873B4" w:rsidRPr="007873B4" w:rsidRDefault="007873B4" w:rsidP="007873B4">
            <w:pPr>
              <w:spacing w:after="0"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Cetățeanul și întreprinderea</w:t>
            </w:r>
          </w:p>
        </w:tc>
      </w:tr>
    </w:tbl>
    <w:p w14:paraId="59ED2E65" w14:textId="77777777" w:rsidR="007873B4" w:rsidRPr="007873B4" w:rsidRDefault="007873B4" w:rsidP="007873B4">
      <w:pPr>
        <w:spacing w:before="100" w:beforeAutospacing="1" w:after="100" w:afterAutospacing="1" w:line="240" w:lineRule="auto"/>
        <w:rPr>
          <w:rFonts w:ascii="Times New Roman" w:eastAsia="Times New Roman" w:hAnsi="Times New Roman" w:cs="Times New Roman"/>
          <w:kern w:val="0"/>
          <w:lang w:val="ro-RO"/>
          <w14:ligatures w14:val="none"/>
        </w:rPr>
      </w:pPr>
      <w:r w:rsidRPr="007873B4">
        <w:rPr>
          <w:rFonts w:ascii="Times New Roman" w:eastAsia="Times New Roman" w:hAnsi="Times New Roman" w:cs="Times New Roman"/>
          <w:kern w:val="0"/>
          <w:lang w:val="ro-RO"/>
          <w14:ligatures w14:val="none"/>
        </w:rPr>
        <w:t>Explicație. Acest tabel sintetizează metoda utilizată în întregul studiu. O măsură nu trebuie atribuită automat instituției care a stabilit obiectivul dacă autoritatea națională a ales instrumentul concret. Separarea etapelor permite identificarea răspunderii politice și juridice fără simplificări.</w:t>
      </w:r>
    </w:p>
    <w:p w14:paraId="5F650128" w14:textId="77777777" w:rsidR="008B0347" w:rsidRDefault="008B0347"/>
    <w:sectPr w:rsidR="008B03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7068"/>
    <w:multiLevelType w:val="multilevel"/>
    <w:tmpl w:val="35E61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A45E4"/>
    <w:multiLevelType w:val="multilevel"/>
    <w:tmpl w:val="E2F0C4E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F73132"/>
    <w:multiLevelType w:val="multilevel"/>
    <w:tmpl w:val="F000C32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D16B3"/>
    <w:multiLevelType w:val="multilevel"/>
    <w:tmpl w:val="0FAED64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A3F47"/>
    <w:multiLevelType w:val="multilevel"/>
    <w:tmpl w:val="A736493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35D6D"/>
    <w:multiLevelType w:val="multilevel"/>
    <w:tmpl w:val="D1A2B0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201BB"/>
    <w:multiLevelType w:val="multilevel"/>
    <w:tmpl w:val="4250706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C734F9"/>
    <w:multiLevelType w:val="multilevel"/>
    <w:tmpl w:val="D4EAAB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5D4F0F"/>
    <w:multiLevelType w:val="multilevel"/>
    <w:tmpl w:val="56C64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82773E"/>
    <w:multiLevelType w:val="multilevel"/>
    <w:tmpl w:val="AA5639A4"/>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CC6582"/>
    <w:multiLevelType w:val="multilevel"/>
    <w:tmpl w:val="08EE12D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447D4E"/>
    <w:multiLevelType w:val="multilevel"/>
    <w:tmpl w:val="DE94575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8B0C53"/>
    <w:multiLevelType w:val="multilevel"/>
    <w:tmpl w:val="10CEF8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CD69E2"/>
    <w:multiLevelType w:val="multilevel"/>
    <w:tmpl w:val="8402AC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E374F2"/>
    <w:multiLevelType w:val="multilevel"/>
    <w:tmpl w:val="6B1CA2F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D71F8B"/>
    <w:multiLevelType w:val="multilevel"/>
    <w:tmpl w:val="9B94135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5EB0C2D"/>
    <w:multiLevelType w:val="multilevel"/>
    <w:tmpl w:val="BC22F2B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EE4206"/>
    <w:multiLevelType w:val="multilevel"/>
    <w:tmpl w:val="4D3C4A3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F8B511B"/>
    <w:multiLevelType w:val="multilevel"/>
    <w:tmpl w:val="7DFE0C4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2675B4"/>
    <w:multiLevelType w:val="multilevel"/>
    <w:tmpl w:val="8F1240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6720AE"/>
    <w:multiLevelType w:val="multilevel"/>
    <w:tmpl w:val="BC3A728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686C53"/>
    <w:multiLevelType w:val="multilevel"/>
    <w:tmpl w:val="14C401C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4168AC"/>
    <w:multiLevelType w:val="multilevel"/>
    <w:tmpl w:val="CD802C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6577FB7"/>
    <w:multiLevelType w:val="multilevel"/>
    <w:tmpl w:val="CDA49ABE"/>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8020C9D"/>
    <w:multiLevelType w:val="multilevel"/>
    <w:tmpl w:val="04A20DB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A2A3D8C"/>
    <w:multiLevelType w:val="multilevel"/>
    <w:tmpl w:val="C04CB07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ADE40D8"/>
    <w:multiLevelType w:val="multilevel"/>
    <w:tmpl w:val="CF4E907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B120B30"/>
    <w:multiLevelType w:val="multilevel"/>
    <w:tmpl w:val="C6C29B9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41591B"/>
    <w:multiLevelType w:val="multilevel"/>
    <w:tmpl w:val="4BDCA19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BF1607"/>
    <w:multiLevelType w:val="multilevel"/>
    <w:tmpl w:val="6F5826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F237E5C"/>
    <w:multiLevelType w:val="multilevel"/>
    <w:tmpl w:val="A12C98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FFA54D2"/>
    <w:multiLevelType w:val="multilevel"/>
    <w:tmpl w:val="72FA3C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2F347A8"/>
    <w:multiLevelType w:val="multilevel"/>
    <w:tmpl w:val="933E53C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BE15721"/>
    <w:multiLevelType w:val="multilevel"/>
    <w:tmpl w:val="AF6C439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FC078E4"/>
    <w:multiLevelType w:val="multilevel"/>
    <w:tmpl w:val="41DAABDC"/>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0D3B1E"/>
    <w:multiLevelType w:val="multilevel"/>
    <w:tmpl w:val="6B9261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7566EE8"/>
    <w:multiLevelType w:val="multilevel"/>
    <w:tmpl w:val="2D3468C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7AB3C4E"/>
    <w:multiLevelType w:val="multilevel"/>
    <w:tmpl w:val="53429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7F30625"/>
    <w:multiLevelType w:val="multilevel"/>
    <w:tmpl w:val="BD9A784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A2825A9"/>
    <w:multiLevelType w:val="multilevel"/>
    <w:tmpl w:val="FB964A1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E3D38AE"/>
    <w:multiLevelType w:val="multilevel"/>
    <w:tmpl w:val="69963D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0521B81"/>
    <w:multiLevelType w:val="multilevel"/>
    <w:tmpl w:val="CAD00EC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56F3B92"/>
    <w:multiLevelType w:val="multilevel"/>
    <w:tmpl w:val="2174D0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79066DE"/>
    <w:multiLevelType w:val="multilevel"/>
    <w:tmpl w:val="1ABE58B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86B4F0A"/>
    <w:multiLevelType w:val="multilevel"/>
    <w:tmpl w:val="01B6043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94A4605"/>
    <w:multiLevelType w:val="multilevel"/>
    <w:tmpl w:val="FC70165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BF87AC0"/>
    <w:multiLevelType w:val="multilevel"/>
    <w:tmpl w:val="E41A4F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C5C7FCC"/>
    <w:multiLevelType w:val="multilevel"/>
    <w:tmpl w:val="356AAC2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DD564D"/>
    <w:multiLevelType w:val="multilevel"/>
    <w:tmpl w:val="12B8728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111947"/>
    <w:multiLevelType w:val="multilevel"/>
    <w:tmpl w:val="B8FC271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13C0EE5"/>
    <w:multiLevelType w:val="multilevel"/>
    <w:tmpl w:val="5560A3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2BA3F02"/>
    <w:multiLevelType w:val="multilevel"/>
    <w:tmpl w:val="CB0053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5DF6D81"/>
    <w:multiLevelType w:val="multilevel"/>
    <w:tmpl w:val="634A70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E54DF8"/>
    <w:multiLevelType w:val="multilevel"/>
    <w:tmpl w:val="F4EEE3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DD5446D"/>
    <w:multiLevelType w:val="multilevel"/>
    <w:tmpl w:val="9D7AC62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FC40D57"/>
    <w:multiLevelType w:val="multilevel"/>
    <w:tmpl w:val="E370FE7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3490FC5"/>
    <w:multiLevelType w:val="multilevel"/>
    <w:tmpl w:val="655281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3FB4010"/>
    <w:multiLevelType w:val="multilevel"/>
    <w:tmpl w:val="BBD2F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6E20129"/>
    <w:multiLevelType w:val="multilevel"/>
    <w:tmpl w:val="779624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C51922"/>
    <w:multiLevelType w:val="multilevel"/>
    <w:tmpl w:val="C31C8C8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A9749B7"/>
    <w:multiLevelType w:val="multilevel"/>
    <w:tmpl w:val="86FAA1F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ACA6669"/>
    <w:multiLevelType w:val="multilevel"/>
    <w:tmpl w:val="13B8D5E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E4C74F0"/>
    <w:multiLevelType w:val="multilevel"/>
    <w:tmpl w:val="CC72D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1725297">
    <w:abstractNumId w:val="57"/>
  </w:num>
  <w:num w:numId="2" w16cid:durableId="1157113053">
    <w:abstractNumId w:val="0"/>
  </w:num>
  <w:num w:numId="3" w16cid:durableId="116686407">
    <w:abstractNumId w:val="52"/>
  </w:num>
  <w:num w:numId="4" w16cid:durableId="68188691">
    <w:abstractNumId w:val="31"/>
  </w:num>
  <w:num w:numId="5" w16cid:durableId="1739940234">
    <w:abstractNumId w:val="56"/>
  </w:num>
  <w:num w:numId="6" w16cid:durableId="485367804">
    <w:abstractNumId w:val="35"/>
  </w:num>
  <w:num w:numId="7" w16cid:durableId="1905487375">
    <w:abstractNumId w:val="29"/>
  </w:num>
  <w:num w:numId="8" w16cid:durableId="944849226">
    <w:abstractNumId w:val="12"/>
  </w:num>
  <w:num w:numId="9" w16cid:durableId="1918513307">
    <w:abstractNumId w:val="5"/>
  </w:num>
  <w:num w:numId="10" w16cid:durableId="202404">
    <w:abstractNumId w:val="58"/>
  </w:num>
  <w:num w:numId="11" w16cid:durableId="1454902929">
    <w:abstractNumId w:val="42"/>
  </w:num>
  <w:num w:numId="12" w16cid:durableId="1183742875">
    <w:abstractNumId w:val="2"/>
  </w:num>
  <w:num w:numId="13" w16cid:durableId="175660694">
    <w:abstractNumId w:val="27"/>
  </w:num>
  <w:num w:numId="14" w16cid:durableId="1270045913">
    <w:abstractNumId w:val="55"/>
  </w:num>
  <w:num w:numId="15" w16cid:durableId="309748176">
    <w:abstractNumId w:val="25"/>
  </w:num>
  <w:num w:numId="16" w16cid:durableId="156503985">
    <w:abstractNumId w:val="20"/>
  </w:num>
  <w:num w:numId="17" w16cid:durableId="1279949535">
    <w:abstractNumId w:val="32"/>
  </w:num>
  <w:num w:numId="18" w16cid:durableId="978997622">
    <w:abstractNumId w:val="18"/>
  </w:num>
  <w:num w:numId="19" w16cid:durableId="1528910058">
    <w:abstractNumId w:val="47"/>
  </w:num>
  <w:num w:numId="20" w16cid:durableId="231434642">
    <w:abstractNumId w:val="59"/>
  </w:num>
  <w:num w:numId="21" w16cid:durableId="53479744">
    <w:abstractNumId w:val="43"/>
  </w:num>
  <w:num w:numId="22" w16cid:durableId="1225868700">
    <w:abstractNumId w:val="9"/>
  </w:num>
  <w:num w:numId="23" w16cid:durableId="2079591549">
    <w:abstractNumId w:val="21"/>
  </w:num>
  <w:num w:numId="24" w16cid:durableId="58791951">
    <w:abstractNumId w:val="36"/>
  </w:num>
  <w:num w:numId="25" w16cid:durableId="2111779456">
    <w:abstractNumId w:val="24"/>
  </w:num>
  <w:num w:numId="26" w16cid:durableId="713239776">
    <w:abstractNumId w:val="17"/>
  </w:num>
  <w:num w:numId="27" w16cid:durableId="1396582337">
    <w:abstractNumId w:val="37"/>
  </w:num>
  <w:num w:numId="28" w16cid:durableId="2052143804">
    <w:abstractNumId w:val="46"/>
  </w:num>
  <w:num w:numId="29" w16cid:durableId="414211053">
    <w:abstractNumId w:val="62"/>
  </w:num>
  <w:num w:numId="30" w16cid:durableId="1323895305">
    <w:abstractNumId w:val="8"/>
  </w:num>
  <w:num w:numId="31" w16cid:durableId="1438057207">
    <w:abstractNumId w:val="19"/>
  </w:num>
  <w:num w:numId="32" w16cid:durableId="374425646">
    <w:abstractNumId w:val="51"/>
  </w:num>
  <w:num w:numId="33" w16cid:durableId="1740832846">
    <w:abstractNumId w:val="40"/>
  </w:num>
  <w:num w:numId="34" w16cid:durableId="876047959">
    <w:abstractNumId w:val="50"/>
  </w:num>
  <w:num w:numId="35" w16cid:durableId="112554502">
    <w:abstractNumId w:val="13"/>
  </w:num>
  <w:num w:numId="36" w16cid:durableId="1244603636">
    <w:abstractNumId w:val="30"/>
  </w:num>
  <w:num w:numId="37" w16cid:durableId="1950774086">
    <w:abstractNumId w:val="53"/>
  </w:num>
  <w:num w:numId="38" w16cid:durableId="526407935">
    <w:abstractNumId w:val="15"/>
  </w:num>
  <w:num w:numId="39" w16cid:durableId="577832371">
    <w:abstractNumId w:val="3"/>
  </w:num>
  <w:num w:numId="40" w16cid:durableId="611521496">
    <w:abstractNumId w:val="7"/>
  </w:num>
  <w:num w:numId="41" w16cid:durableId="1236164040">
    <w:abstractNumId w:val="61"/>
  </w:num>
  <w:num w:numId="42" w16cid:durableId="986394657">
    <w:abstractNumId w:val="60"/>
  </w:num>
  <w:num w:numId="43" w16cid:durableId="1217661907">
    <w:abstractNumId w:val="22"/>
  </w:num>
  <w:num w:numId="44" w16cid:durableId="1130324636">
    <w:abstractNumId w:val="49"/>
  </w:num>
  <w:num w:numId="45" w16cid:durableId="96142123">
    <w:abstractNumId w:val="41"/>
  </w:num>
  <w:num w:numId="46" w16cid:durableId="1000810262">
    <w:abstractNumId w:val="28"/>
  </w:num>
  <w:num w:numId="47" w16cid:durableId="681670016">
    <w:abstractNumId w:val="33"/>
  </w:num>
  <w:num w:numId="48" w16cid:durableId="1914775851">
    <w:abstractNumId w:val="11"/>
  </w:num>
  <w:num w:numId="49" w16cid:durableId="1181700136">
    <w:abstractNumId w:val="1"/>
  </w:num>
  <w:num w:numId="50" w16cid:durableId="999698046">
    <w:abstractNumId w:val="54"/>
  </w:num>
  <w:num w:numId="51" w16cid:durableId="455680090">
    <w:abstractNumId w:val="44"/>
  </w:num>
  <w:num w:numId="52" w16cid:durableId="1481506921">
    <w:abstractNumId w:val="39"/>
  </w:num>
  <w:num w:numId="53" w16cid:durableId="191068708">
    <w:abstractNumId w:val="45"/>
  </w:num>
  <w:num w:numId="54" w16cid:durableId="953244668">
    <w:abstractNumId w:val="14"/>
  </w:num>
  <w:num w:numId="55" w16cid:durableId="288823746">
    <w:abstractNumId w:val="38"/>
  </w:num>
  <w:num w:numId="56" w16cid:durableId="646082899">
    <w:abstractNumId w:val="48"/>
  </w:num>
  <w:num w:numId="57" w16cid:durableId="1437555568">
    <w:abstractNumId w:val="34"/>
  </w:num>
  <w:num w:numId="58" w16cid:durableId="1229459967">
    <w:abstractNumId w:val="16"/>
  </w:num>
  <w:num w:numId="59" w16cid:durableId="166289978">
    <w:abstractNumId w:val="23"/>
  </w:num>
  <w:num w:numId="60" w16cid:durableId="351028481">
    <w:abstractNumId w:val="4"/>
  </w:num>
  <w:num w:numId="61" w16cid:durableId="790368086">
    <w:abstractNumId w:val="6"/>
  </w:num>
  <w:num w:numId="62" w16cid:durableId="169024928">
    <w:abstractNumId w:val="10"/>
  </w:num>
  <w:num w:numId="63" w16cid:durableId="1365011835">
    <w:abstractNumId w:val="2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21"/>
    <w:rsid w:val="001F2C21"/>
    <w:rsid w:val="00256CDE"/>
    <w:rsid w:val="004F3081"/>
    <w:rsid w:val="00621A64"/>
    <w:rsid w:val="0075136A"/>
    <w:rsid w:val="007629ED"/>
    <w:rsid w:val="007873B4"/>
    <w:rsid w:val="008B0347"/>
    <w:rsid w:val="009D18F5"/>
    <w:rsid w:val="00B81F1C"/>
    <w:rsid w:val="00E31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81CE"/>
  <w15:chartTrackingRefBased/>
  <w15:docId w15:val="{74626CB5-3D16-4F2F-8828-1DA0DAB76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F2C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F2C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F2C2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F2C2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F2C2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F2C2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F2C2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F2C2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F2C2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F2C2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F2C2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F2C2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F2C2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F2C2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F2C2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F2C2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F2C2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F2C21"/>
    <w:rPr>
      <w:rFonts w:eastAsiaTheme="majorEastAsia" w:cstheme="majorBidi"/>
      <w:color w:val="272727" w:themeColor="text1" w:themeTint="D8"/>
    </w:rPr>
  </w:style>
  <w:style w:type="paragraph" w:styleId="Titlu">
    <w:name w:val="Title"/>
    <w:basedOn w:val="Normal"/>
    <w:next w:val="Normal"/>
    <w:link w:val="TitluCaracter"/>
    <w:uiPriority w:val="10"/>
    <w:qFormat/>
    <w:rsid w:val="001F2C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F2C2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F2C2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F2C2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F2C2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F2C21"/>
    <w:rPr>
      <w:i/>
      <w:iCs/>
      <w:color w:val="404040" w:themeColor="text1" w:themeTint="BF"/>
    </w:rPr>
  </w:style>
  <w:style w:type="paragraph" w:styleId="Listparagraf">
    <w:name w:val="List Paragraph"/>
    <w:basedOn w:val="Normal"/>
    <w:uiPriority w:val="34"/>
    <w:qFormat/>
    <w:rsid w:val="001F2C21"/>
    <w:pPr>
      <w:ind w:left="720"/>
      <w:contextualSpacing/>
    </w:pPr>
  </w:style>
  <w:style w:type="character" w:styleId="Accentuareintens">
    <w:name w:val="Intense Emphasis"/>
    <w:basedOn w:val="Fontdeparagrafimplicit"/>
    <w:uiPriority w:val="21"/>
    <w:qFormat/>
    <w:rsid w:val="001F2C21"/>
    <w:rPr>
      <w:i/>
      <w:iCs/>
      <w:color w:val="2F5496" w:themeColor="accent1" w:themeShade="BF"/>
    </w:rPr>
  </w:style>
  <w:style w:type="paragraph" w:styleId="Citatintens">
    <w:name w:val="Intense Quote"/>
    <w:basedOn w:val="Normal"/>
    <w:next w:val="Normal"/>
    <w:link w:val="CitatintensCaracter"/>
    <w:uiPriority w:val="30"/>
    <w:qFormat/>
    <w:rsid w:val="001F2C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F2C21"/>
    <w:rPr>
      <w:i/>
      <w:iCs/>
      <w:color w:val="2F5496" w:themeColor="accent1" w:themeShade="BF"/>
    </w:rPr>
  </w:style>
  <w:style w:type="character" w:styleId="Referireintens">
    <w:name w:val="Intense Reference"/>
    <w:basedOn w:val="Fontdeparagrafimplicit"/>
    <w:uiPriority w:val="32"/>
    <w:qFormat/>
    <w:rsid w:val="001F2C21"/>
    <w:rPr>
      <w:b/>
      <w:bCs/>
      <w:smallCaps/>
      <w:color w:val="2F5496" w:themeColor="accent1" w:themeShade="BF"/>
      <w:spacing w:val="5"/>
    </w:rPr>
  </w:style>
  <w:style w:type="paragraph" w:customStyle="1" w:styleId="isselectedend">
    <w:name w:val="isselectedend"/>
    <w:basedOn w:val="Normal"/>
    <w:rsid w:val="001F2C2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1F2C2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65</Pages>
  <Words>28618</Words>
  <Characters>163128</Characters>
  <Application>Microsoft Office Word</Application>
  <DocSecurity>0</DocSecurity>
  <Lines>1359</Lines>
  <Paragraphs>382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cp:lastModifiedBy>
  <cp:revision>1</cp:revision>
  <dcterms:created xsi:type="dcterms:W3CDTF">2026-10-04T05:37:00Z</dcterms:created>
  <dcterms:modified xsi:type="dcterms:W3CDTF">2026-10-04T05:59:00Z</dcterms:modified>
</cp:coreProperties>
</file>